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224B" w:rsidRDefault="00BB224B" w:rsidP="005858D1">
      <w:pPr>
        <w:jc w:val="center"/>
        <w:rPr>
          <w:rFonts w:cs="Arial"/>
          <w:b/>
          <w:szCs w:val="22"/>
          <w:lang w:val="es-CO"/>
        </w:rPr>
      </w:pPr>
    </w:p>
    <w:p w:rsidR="00C247F7" w:rsidRDefault="00C247F7" w:rsidP="00C247F7">
      <w:pPr>
        <w:jc w:val="center"/>
        <w:rPr>
          <w:rFonts w:cs="Arial"/>
          <w:b/>
          <w:szCs w:val="22"/>
          <w:lang w:val="es-CO"/>
        </w:rPr>
      </w:pPr>
      <w:r>
        <w:rPr>
          <w:rFonts w:cs="Arial"/>
          <w:b/>
          <w:szCs w:val="22"/>
          <w:lang w:val="es-CO"/>
        </w:rPr>
        <w:t>CONTENIDO</w:t>
      </w:r>
    </w:p>
    <w:p w:rsidR="00641B2D" w:rsidRDefault="00C76D30">
      <w:pPr>
        <w:pStyle w:val="TDC1"/>
        <w:tabs>
          <w:tab w:val="right" w:leader="underscore" w:pos="9112"/>
        </w:tabs>
        <w:rPr>
          <w:rFonts w:eastAsiaTheme="minorEastAsia" w:cstheme="minorBidi"/>
          <w:b w:val="0"/>
          <w:bCs w:val="0"/>
          <w:i w:val="0"/>
          <w:iCs w:val="0"/>
          <w:noProof/>
          <w:sz w:val="22"/>
          <w:szCs w:val="22"/>
          <w:lang w:val="es-CO" w:eastAsia="es-CO"/>
        </w:rPr>
      </w:pPr>
      <w:r w:rsidRPr="00701ED0">
        <w:rPr>
          <w:sz w:val="22"/>
          <w:szCs w:val="22"/>
          <w:lang w:val="es-CO"/>
        </w:rPr>
        <w:fldChar w:fldCharType="begin"/>
      </w:r>
      <w:r w:rsidRPr="00701ED0">
        <w:rPr>
          <w:sz w:val="22"/>
          <w:szCs w:val="22"/>
          <w:lang w:val="es-CO"/>
        </w:rPr>
        <w:instrText xml:space="preserve"> TOC \o "1-4" \h \z \u </w:instrText>
      </w:r>
      <w:r w:rsidRPr="00701ED0">
        <w:rPr>
          <w:sz w:val="22"/>
          <w:szCs w:val="22"/>
          <w:lang w:val="es-CO"/>
        </w:rPr>
        <w:fldChar w:fldCharType="separate"/>
      </w:r>
      <w:hyperlink w:anchor="_Toc23137152" w:history="1">
        <w:r w:rsidR="00641B2D" w:rsidRPr="00CB120B">
          <w:rPr>
            <w:rStyle w:val="Hipervnculo"/>
            <w:noProof/>
          </w:rPr>
          <w:t>1. MARCO CONCEPTUAL</w:t>
        </w:r>
        <w:r w:rsidR="00641B2D">
          <w:rPr>
            <w:noProof/>
            <w:webHidden/>
          </w:rPr>
          <w:tab/>
        </w:r>
        <w:r w:rsidR="00641B2D">
          <w:rPr>
            <w:noProof/>
            <w:webHidden/>
          </w:rPr>
          <w:fldChar w:fldCharType="begin"/>
        </w:r>
        <w:r w:rsidR="00641B2D">
          <w:rPr>
            <w:noProof/>
            <w:webHidden/>
          </w:rPr>
          <w:instrText xml:space="preserve"> PAGEREF _Toc23137152 \h </w:instrText>
        </w:r>
        <w:r w:rsidR="00641B2D">
          <w:rPr>
            <w:noProof/>
            <w:webHidden/>
          </w:rPr>
        </w:r>
        <w:r w:rsidR="00641B2D">
          <w:rPr>
            <w:noProof/>
            <w:webHidden/>
          </w:rPr>
          <w:fldChar w:fldCharType="separate"/>
        </w:r>
        <w:r w:rsidR="00641B2D">
          <w:rPr>
            <w:noProof/>
            <w:webHidden/>
          </w:rPr>
          <w:t>1</w:t>
        </w:r>
        <w:r w:rsidR="00641B2D">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53" w:history="1">
        <w:r w:rsidRPr="00CB120B">
          <w:rPr>
            <w:rStyle w:val="Hipervnculo"/>
            <w:noProof/>
            <w:lang w:val="es-CO"/>
          </w:rPr>
          <w:t>1.1 CONTEXTO GLOBAL</w:t>
        </w:r>
        <w:r>
          <w:rPr>
            <w:noProof/>
            <w:webHidden/>
          </w:rPr>
          <w:tab/>
        </w:r>
        <w:r>
          <w:rPr>
            <w:noProof/>
            <w:webHidden/>
          </w:rPr>
          <w:fldChar w:fldCharType="begin"/>
        </w:r>
        <w:r>
          <w:rPr>
            <w:noProof/>
            <w:webHidden/>
          </w:rPr>
          <w:instrText xml:space="preserve"> PAGEREF _Toc23137153 \h </w:instrText>
        </w:r>
        <w:r>
          <w:rPr>
            <w:noProof/>
            <w:webHidden/>
          </w:rPr>
        </w:r>
        <w:r>
          <w:rPr>
            <w:noProof/>
            <w:webHidden/>
          </w:rPr>
          <w:fldChar w:fldCharType="separate"/>
        </w:r>
        <w:r>
          <w:rPr>
            <w:noProof/>
            <w:webHidden/>
          </w:rPr>
          <w:t>1</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54" w:history="1">
        <w:r w:rsidRPr="00CB120B">
          <w:rPr>
            <w:rStyle w:val="Hipervnculo"/>
            <w:noProof/>
            <w:lang w:val="es-CO"/>
          </w:rPr>
          <w:t>1.2 CONTEXTO COLOMBIANO</w:t>
        </w:r>
        <w:r>
          <w:rPr>
            <w:noProof/>
            <w:webHidden/>
          </w:rPr>
          <w:tab/>
        </w:r>
        <w:r>
          <w:rPr>
            <w:noProof/>
            <w:webHidden/>
          </w:rPr>
          <w:fldChar w:fldCharType="begin"/>
        </w:r>
        <w:r>
          <w:rPr>
            <w:noProof/>
            <w:webHidden/>
          </w:rPr>
          <w:instrText xml:space="preserve"> PAGEREF _Toc23137154 \h </w:instrText>
        </w:r>
        <w:r>
          <w:rPr>
            <w:noProof/>
            <w:webHidden/>
          </w:rPr>
        </w:r>
        <w:r>
          <w:rPr>
            <w:noProof/>
            <w:webHidden/>
          </w:rPr>
          <w:fldChar w:fldCharType="separate"/>
        </w:r>
        <w:r>
          <w:rPr>
            <w:noProof/>
            <w:webHidden/>
          </w:rPr>
          <w:t>3</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55" w:history="1">
        <w:r w:rsidRPr="00CB120B">
          <w:rPr>
            <w:rStyle w:val="Hipervnculo"/>
            <w:noProof/>
          </w:rPr>
          <w:t>2. EL CONCEPTO DE ORDENACIÓN FORESTAL INTEGRAL Y SOSTENIBLE</w:t>
        </w:r>
        <w:r>
          <w:rPr>
            <w:noProof/>
            <w:webHidden/>
          </w:rPr>
          <w:tab/>
        </w:r>
        <w:r>
          <w:rPr>
            <w:noProof/>
            <w:webHidden/>
          </w:rPr>
          <w:fldChar w:fldCharType="begin"/>
        </w:r>
        <w:r>
          <w:rPr>
            <w:noProof/>
            <w:webHidden/>
          </w:rPr>
          <w:instrText xml:space="preserve"> PAGEREF _Toc23137155 \h </w:instrText>
        </w:r>
        <w:r>
          <w:rPr>
            <w:noProof/>
            <w:webHidden/>
          </w:rPr>
        </w:r>
        <w:r>
          <w:rPr>
            <w:noProof/>
            <w:webHidden/>
          </w:rPr>
          <w:fldChar w:fldCharType="separate"/>
        </w:r>
        <w:r>
          <w:rPr>
            <w:noProof/>
            <w:webHidden/>
          </w:rPr>
          <w:t>6</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56" w:history="1">
        <w:r w:rsidRPr="00CB120B">
          <w:rPr>
            <w:rStyle w:val="Hipervnculo"/>
            <w:noProof/>
          </w:rPr>
          <w:t>3. MARCO POLÍTICO Y NORMATIVO</w:t>
        </w:r>
        <w:r>
          <w:rPr>
            <w:noProof/>
            <w:webHidden/>
          </w:rPr>
          <w:tab/>
        </w:r>
        <w:r>
          <w:rPr>
            <w:noProof/>
            <w:webHidden/>
          </w:rPr>
          <w:fldChar w:fldCharType="begin"/>
        </w:r>
        <w:r>
          <w:rPr>
            <w:noProof/>
            <w:webHidden/>
          </w:rPr>
          <w:instrText xml:space="preserve"> PAGEREF _Toc23137156 \h </w:instrText>
        </w:r>
        <w:r>
          <w:rPr>
            <w:noProof/>
            <w:webHidden/>
          </w:rPr>
        </w:r>
        <w:r>
          <w:rPr>
            <w:noProof/>
            <w:webHidden/>
          </w:rPr>
          <w:fldChar w:fldCharType="separate"/>
        </w:r>
        <w:r>
          <w:rPr>
            <w:noProof/>
            <w:webHidden/>
          </w:rPr>
          <w:t>8</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57" w:history="1">
        <w:r w:rsidRPr="00CB120B">
          <w:rPr>
            <w:rStyle w:val="Hipervnculo"/>
            <w:noProof/>
          </w:rPr>
          <w:t>3.1. ELEMENTOS DE LA POLÍTICA NACIONAL PARA LA GESTIÓN INTEGRAL DE LA BIODIVERSIDAD Y SUS SERVICIOS ECOSISTÉMICOS (PNGIBSE) QUE FUNDAMENTAN LA ORDENACIÓN FORESTAL INTEGRAL Y SOSTENIBLE</w:t>
        </w:r>
        <w:r>
          <w:rPr>
            <w:noProof/>
            <w:webHidden/>
          </w:rPr>
          <w:tab/>
        </w:r>
        <w:r>
          <w:rPr>
            <w:noProof/>
            <w:webHidden/>
          </w:rPr>
          <w:fldChar w:fldCharType="begin"/>
        </w:r>
        <w:r>
          <w:rPr>
            <w:noProof/>
            <w:webHidden/>
          </w:rPr>
          <w:instrText xml:space="preserve"> PAGEREF _Toc23137157 \h </w:instrText>
        </w:r>
        <w:r>
          <w:rPr>
            <w:noProof/>
            <w:webHidden/>
          </w:rPr>
        </w:r>
        <w:r>
          <w:rPr>
            <w:noProof/>
            <w:webHidden/>
          </w:rPr>
          <w:fldChar w:fldCharType="separate"/>
        </w:r>
        <w:r>
          <w:rPr>
            <w:noProof/>
            <w:webHidden/>
          </w:rPr>
          <w:t>8</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58" w:history="1">
        <w:r w:rsidRPr="00CB120B">
          <w:rPr>
            <w:rStyle w:val="Hipervnculo"/>
            <w:noProof/>
          </w:rPr>
          <w:t>3.2. LA ORDENACIÓN FORESTAL INTEGRAL Y SOSTENIBLE COMO HERRAMIENTA DE APOYO PARA EL ABORDAJE DEL  CAMBIO CLIMÁTICO</w:t>
        </w:r>
        <w:r>
          <w:rPr>
            <w:noProof/>
            <w:webHidden/>
          </w:rPr>
          <w:tab/>
        </w:r>
        <w:r>
          <w:rPr>
            <w:noProof/>
            <w:webHidden/>
          </w:rPr>
          <w:fldChar w:fldCharType="begin"/>
        </w:r>
        <w:r>
          <w:rPr>
            <w:noProof/>
            <w:webHidden/>
          </w:rPr>
          <w:instrText xml:space="preserve"> PAGEREF _Toc23137158 \h </w:instrText>
        </w:r>
        <w:r>
          <w:rPr>
            <w:noProof/>
            <w:webHidden/>
          </w:rPr>
        </w:r>
        <w:r>
          <w:rPr>
            <w:noProof/>
            <w:webHidden/>
          </w:rPr>
          <w:fldChar w:fldCharType="separate"/>
        </w:r>
        <w:r>
          <w:rPr>
            <w:noProof/>
            <w:webHidden/>
          </w:rPr>
          <w:t>9</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59" w:history="1">
        <w:r w:rsidRPr="00CB120B">
          <w:rPr>
            <w:rStyle w:val="Hipervnculo"/>
            <w:noProof/>
          </w:rPr>
          <w:t>4. RECURSOS OBJETO DE LA ORDENACIÓN FORESTAL INTEGRAL Y SOSTENIBLE</w:t>
        </w:r>
        <w:r>
          <w:rPr>
            <w:noProof/>
            <w:webHidden/>
          </w:rPr>
          <w:tab/>
        </w:r>
        <w:r>
          <w:rPr>
            <w:noProof/>
            <w:webHidden/>
          </w:rPr>
          <w:fldChar w:fldCharType="begin"/>
        </w:r>
        <w:r>
          <w:rPr>
            <w:noProof/>
            <w:webHidden/>
          </w:rPr>
          <w:instrText xml:space="preserve"> PAGEREF _Toc23137159 \h </w:instrText>
        </w:r>
        <w:r>
          <w:rPr>
            <w:noProof/>
            <w:webHidden/>
          </w:rPr>
        </w:r>
        <w:r>
          <w:rPr>
            <w:noProof/>
            <w:webHidden/>
          </w:rPr>
          <w:fldChar w:fldCharType="separate"/>
        </w:r>
        <w:r>
          <w:rPr>
            <w:noProof/>
            <w:webHidden/>
          </w:rPr>
          <w:t>12</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60" w:history="1">
        <w:r w:rsidRPr="00CB120B">
          <w:rPr>
            <w:rStyle w:val="Hipervnculo"/>
            <w:noProof/>
            <w:lang w:val="es-CO"/>
          </w:rPr>
          <w:t>4.1. TIERRAS DE VOCACIÓN FORESTAL Y AGROFORESTAL</w:t>
        </w:r>
        <w:r>
          <w:rPr>
            <w:noProof/>
            <w:webHidden/>
          </w:rPr>
          <w:tab/>
        </w:r>
        <w:r>
          <w:rPr>
            <w:noProof/>
            <w:webHidden/>
          </w:rPr>
          <w:fldChar w:fldCharType="begin"/>
        </w:r>
        <w:r>
          <w:rPr>
            <w:noProof/>
            <w:webHidden/>
          </w:rPr>
          <w:instrText xml:space="preserve"> PAGEREF _Toc23137160 \h </w:instrText>
        </w:r>
        <w:r>
          <w:rPr>
            <w:noProof/>
            <w:webHidden/>
          </w:rPr>
        </w:r>
        <w:r>
          <w:rPr>
            <w:noProof/>
            <w:webHidden/>
          </w:rPr>
          <w:fldChar w:fldCharType="separate"/>
        </w:r>
        <w:r>
          <w:rPr>
            <w:noProof/>
            <w:webHidden/>
          </w:rPr>
          <w:t>12</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61" w:history="1">
        <w:r w:rsidRPr="00CB120B">
          <w:rPr>
            <w:rStyle w:val="Hipervnculo"/>
            <w:noProof/>
            <w:lang w:val="es-CO"/>
          </w:rPr>
          <w:t>4.2. ECOSISTEMAS DE COLOMBIA</w:t>
        </w:r>
        <w:r>
          <w:rPr>
            <w:noProof/>
            <w:webHidden/>
          </w:rPr>
          <w:tab/>
        </w:r>
        <w:r>
          <w:rPr>
            <w:noProof/>
            <w:webHidden/>
          </w:rPr>
          <w:fldChar w:fldCharType="begin"/>
        </w:r>
        <w:r>
          <w:rPr>
            <w:noProof/>
            <w:webHidden/>
          </w:rPr>
          <w:instrText xml:space="preserve"> PAGEREF _Toc23137161 \h </w:instrText>
        </w:r>
        <w:r>
          <w:rPr>
            <w:noProof/>
            <w:webHidden/>
          </w:rPr>
        </w:r>
        <w:r>
          <w:rPr>
            <w:noProof/>
            <w:webHidden/>
          </w:rPr>
          <w:fldChar w:fldCharType="separate"/>
        </w:r>
        <w:r>
          <w:rPr>
            <w:noProof/>
            <w:webHidden/>
          </w:rPr>
          <w:t>12</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62" w:history="1">
        <w:r w:rsidRPr="00CB120B">
          <w:rPr>
            <w:rStyle w:val="Hipervnculo"/>
            <w:noProof/>
            <w:lang w:val="es-ES_tradnl"/>
          </w:rPr>
          <w:t>4.3. COBERTURAS BOSCOSAS DE COLOMBIA</w:t>
        </w:r>
        <w:r>
          <w:rPr>
            <w:noProof/>
            <w:webHidden/>
          </w:rPr>
          <w:tab/>
        </w:r>
        <w:r>
          <w:rPr>
            <w:noProof/>
            <w:webHidden/>
          </w:rPr>
          <w:fldChar w:fldCharType="begin"/>
        </w:r>
        <w:r>
          <w:rPr>
            <w:noProof/>
            <w:webHidden/>
          </w:rPr>
          <w:instrText xml:space="preserve"> PAGEREF _Toc23137162 \h </w:instrText>
        </w:r>
        <w:r>
          <w:rPr>
            <w:noProof/>
            <w:webHidden/>
          </w:rPr>
        </w:r>
        <w:r>
          <w:rPr>
            <w:noProof/>
            <w:webHidden/>
          </w:rPr>
          <w:fldChar w:fldCharType="separate"/>
        </w:r>
        <w:r>
          <w:rPr>
            <w:noProof/>
            <w:webHidden/>
          </w:rPr>
          <w:t>13</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63" w:history="1">
        <w:r w:rsidRPr="00CB120B">
          <w:rPr>
            <w:rStyle w:val="Hipervnculo"/>
            <w:noProof/>
          </w:rPr>
          <w:t>5. PRINCIPIOS DE LA ORDENACIÓN FORESTAL INTEGRAL Y SOSTENIBLE</w:t>
        </w:r>
        <w:r>
          <w:rPr>
            <w:noProof/>
            <w:webHidden/>
          </w:rPr>
          <w:tab/>
        </w:r>
        <w:r>
          <w:rPr>
            <w:noProof/>
            <w:webHidden/>
          </w:rPr>
          <w:fldChar w:fldCharType="begin"/>
        </w:r>
        <w:r>
          <w:rPr>
            <w:noProof/>
            <w:webHidden/>
          </w:rPr>
          <w:instrText xml:space="preserve"> PAGEREF _Toc23137163 \h </w:instrText>
        </w:r>
        <w:r>
          <w:rPr>
            <w:noProof/>
            <w:webHidden/>
          </w:rPr>
        </w:r>
        <w:r>
          <w:rPr>
            <w:noProof/>
            <w:webHidden/>
          </w:rPr>
          <w:fldChar w:fldCharType="separate"/>
        </w:r>
        <w:r>
          <w:rPr>
            <w:noProof/>
            <w:webHidden/>
          </w:rPr>
          <w:t>14</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64" w:history="1">
        <w:r w:rsidRPr="00CB120B">
          <w:rPr>
            <w:rStyle w:val="Hipervnculo"/>
            <w:noProof/>
          </w:rPr>
          <w:t>6. CONTEXTO PARTICULAR PARA DESARROLLAR LA ORDENACIÓN FORESTAL EN COLOMBIA</w:t>
        </w:r>
        <w:r>
          <w:rPr>
            <w:noProof/>
            <w:webHidden/>
          </w:rPr>
          <w:tab/>
        </w:r>
        <w:r>
          <w:rPr>
            <w:noProof/>
            <w:webHidden/>
          </w:rPr>
          <w:fldChar w:fldCharType="begin"/>
        </w:r>
        <w:r>
          <w:rPr>
            <w:noProof/>
            <w:webHidden/>
          </w:rPr>
          <w:instrText xml:space="preserve"> PAGEREF _Toc23137164 \h </w:instrText>
        </w:r>
        <w:r>
          <w:rPr>
            <w:noProof/>
            <w:webHidden/>
          </w:rPr>
        </w:r>
        <w:r>
          <w:rPr>
            <w:noProof/>
            <w:webHidden/>
          </w:rPr>
          <w:fldChar w:fldCharType="separate"/>
        </w:r>
        <w:r>
          <w:rPr>
            <w:noProof/>
            <w:webHidden/>
          </w:rPr>
          <w:t>14</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65" w:history="1">
        <w:r w:rsidRPr="00CB120B">
          <w:rPr>
            <w:rStyle w:val="Hipervnculo"/>
            <w:noProof/>
          </w:rPr>
          <w:t>7. ASPECTOS COMUNITARIOS PARA LA ORDENACIÓN FORESTAL</w:t>
        </w:r>
        <w:r>
          <w:rPr>
            <w:noProof/>
            <w:webHidden/>
          </w:rPr>
          <w:tab/>
        </w:r>
        <w:r>
          <w:rPr>
            <w:noProof/>
            <w:webHidden/>
          </w:rPr>
          <w:fldChar w:fldCharType="begin"/>
        </w:r>
        <w:r>
          <w:rPr>
            <w:noProof/>
            <w:webHidden/>
          </w:rPr>
          <w:instrText xml:space="preserve"> PAGEREF _Toc23137165 \h </w:instrText>
        </w:r>
        <w:r>
          <w:rPr>
            <w:noProof/>
            <w:webHidden/>
          </w:rPr>
        </w:r>
        <w:r>
          <w:rPr>
            <w:noProof/>
            <w:webHidden/>
          </w:rPr>
          <w:fldChar w:fldCharType="separate"/>
        </w:r>
        <w:r>
          <w:rPr>
            <w:noProof/>
            <w:webHidden/>
          </w:rPr>
          <w:t>15</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66" w:history="1">
        <w:r w:rsidRPr="00CB120B">
          <w:rPr>
            <w:rStyle w:val="Hipervnculo"/>
            <w:noProof/>
            <w:lang w:val="es-CO"/>
          </w:rPr>
          <w:t>7.1 ELEMENTOS NORMATIVOS</w:t>
        </w:r>
        <w:r>
          <w:rPr>
            <w:noProof/>
            <w:webHidden/>
          </w:rPr>
          <w:tab/>
        </w:r>
        <w:r>
          <w:rPr>
            <w:noProof/>
            <w:webHidden/>
          </w:rPr>
          <w:fldChar w:fldCharType="begin"/>
        </w:r>
        <w:r>
          <w:rPr>
            <w:noProof/>
            <w:webHidden/>
          </w:rPr>
          <w:instrText xml:space="preserve"> PAGEREF _Toc23137166 \h </w:instrText>
        </w:r>
        <w:r>
          <w:rPr>
            <w:noProof/>
            <w:webHidden/>
          </w:rPr>
        </w:r>
        <w:r>
          <w:rPr>
            <w:noProof/>
            <w:webHidden/>
          </w:rPr>
          <w:fldChar w:fldCharType="separate"/>
        </w:r>
        <w:r>
          <w:rPr>
            <w:noProof/>
            <w:webHidden/>
          </w:rPr>
          <w:t>15</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67" w:history="1">
        <w:r w:rsidRPr="00CB120B">
          <w:rPr>
            <w:rStyle w:val="Hipervnculo"/>
            <w:noProof/>
          </w:rPr>
          <w:t>7.2 ELEMENTOS CONCEPTUALES Y METODOLÓGICOS</w:t>
        </w:r>
        <w:r>
          <w:rPr>
            <w:noProof/>
            <w:webHidden/>
          </w:rPr>
          <w:tab/>
        </w:r>
        <w:r>
          <w:rPr>
            <w:noProof/>
            <w:webHidden/>
          </w:rPr>
          <w:fldChar w:fldCharType="begin"/>
        </w:r>
        <w:r>
          <w:rPr>
            <w:noProof/>
            <w:webHidden/>
          </w:rPr>
          <w:instrText xml:space="preserve"> PAGEREF _Toc23137167 \h </w:instrText>
        </w:r>
        <w:r>
          <w:rPr>
            <w:noProof/>
            <w:webHidden/>
          </w:rPr>
        </w:r>
        <w:r>
          <w:rPr>
            <w:noProof/>
            <w:webHidden/>
          </w:rPr>
          <w:fldChar w:fldCharType="separate"/>
        </w:r>
        <w:r>
          <w:rPr>
            <w:noProof/>
            <w:webHidden/>
          </w:rPr>
          <w:t>15</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68" w:history="1">
        <w:r w:rsidRPr="00CB120B">
          <w:rPr>
            <w:rStyle w:val="Hipervnculo"/>
            <w:noProof/>
          </w:rPr>
          <w:t>8. ARMONIZACIÓN DE LA ORDENACIÓN FORESTAL AL NIVEL REGIONAL</w:t>
        </w:r>
        <w:r>
          <w:rPr>
            <w:noProof/>
            <w:webHidden/>
          </w:rPr>
          <w:tab/>
        </w:r>
        <w:r>
          <w:rPr>
            <w:noProof/>
            <w:webHidden/>
          </w:rPr>
          <w:fldChar w:fldCharType="begin"/>
        </w:r>
        <w:r>
          <w:rPr>
            <w:noProof/>
            <w:webHidden/>
          </w:rPr>
          <w:instrText xml:space="preserve"> PAGEREF _Toc23137168 \h </w:instrText>
        </w:r>
        <w:r>
          <w:rPr>
            <w:noProof/>
            <w:webHidden/>
          </w:rPr>
        </w:r>
        <w:r>
          <w:rPr>
            <w:noProof/>
            <w:webHidden/>
          </w:rPr>
          <w:fldChar w:fldCharType="separate"/>
        </w:r>
        <w:r>
          <w:rPr>
            <w:noProof/>
            <w:webHidden/>
          </w:rPr>
          <w:t>15</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69" w:history="1">
        <w:r w:rsidRPr="00CB120B">
          <w:rPr>
            <w:rStyle w:val="Hipervnculo"/>
            <w:noProof/>
          </w:rPr>
          <w:t>9. ARTICULACIÓN DE LA ORDENACIÓN FORESTAL EN LA GESTIÓN DE LAS CORPORACIONES REGIONALES</w:t>
        </w:r>
        <w:r>
          <w:rPr>
            <w:noProof/>
            <w:webHidden/>
          </w:rPr>
          <w:tab/>
        </w:r>
        <w:r>
          <w:rPr>
            <w:noProof/>
            <w:webHidden/>
          </w:rPr>
          <w:fldChar w:fldCharType="begin"/>
        </w:r>
        <w:r>
          <w:rPr>
            <w:noProof/>
            <w:webHidden/>
          </w:rPr>
          <w:instrText xml:space="preserve"> PAGEREF _Toc23137169 \h </w:instrText>
        </w:r>
        <w:r>
          <w:rPr>
            <w:noProof/>
            <w:webHidden/>
          </w:rPr>
        </w:r>
        <w:r>
          <w:rPr>
            <w:noProof/>
            <w:webHidden/>
          </w:rPr>
          <w:fldChar w:fldCharType="separate"/>
        </w:r>
        <w:r>
          <w:rPr>
            <w:noProof/>
            <w:webHidden/>
          </w:rPr>
          <w:t>17</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70" w:history="1">
        <w:r w:rsidRPr="00CB120B">
          <w:rPr>
            <w:rStyle w:val="Hipervnculo"/>
            <w:noProof/>
          </w:rPr>
          <w:t>10. EVALUACIÓN Y ACTUALIZACIÓN DE LA ORDENACIÓN FORESTAL</w:t>
        </w:r>
        <w:r>
          <w:rPr>
            <w:noProof/>
            <w:webHidden/>
          </w:rPr>
          <w:tab/>
        </w:r>
        <w:r>
          <w:rPr>
            <w:noProof/>
            <w:webHidden/>
          </w:rPr>
          <w:fldChar w:fldCharType="begin"/>
        </w:r>
        <w:r>
          <w:rPr>
            <w:noProof/>
            <w:webHidden/>
          </w:rPr>
          <w:instrText xml:space="preserve"> PAGEREF _Toc23137170 \h </w:instrText>
        </w:r>
        <w:r>
          <w:rPr>
            <w:noProof/>
            <w:webHidden/>
          </w:rPr>
        </w:r>
        <w:r>
          <w:rPr>
            <w:noProof/>
            <w:webHidden/>
          </w:rPr>
          <w:fldChar w:fldCharType="separate"/>
        </w:r>
        <w:r>
          <w:rPr>
            <w:noProof/>
            <w:webHidden/>
          </w:rPr>
          <w:t>18</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71" w:history="1">
        <w:r w:rsidRPr="00CB120B">
          <w:rPr>
            <w:rStyle w:val="Hipervnculo"/>
            <w:noProof/>
          </w:rPr>
          <w:t>11. FASES Y FLUJO DE ACTIVIDADES PARA EL DESARROLLO DE LA ORDENACIÓN FORESTAL</w:t>
        </w:r>
        <w:r>
          <w:rPr>
            <w:noProof/>
            <w:webHidden/>
          </w:rPr>
          <w:tab/>
        </w:r>
        <w:r>
          <w:rPr>
            <w:noProof/>
            <w:webHidden/>
          </w:rPr>
          <w:fldChar w:fldCharType="begin"/>
        </w:r>
        <w:r>
          <w:rPr>
            <w:noProof/>
            <w:webHidden/>
          </w:rPr>
          <w:instrText xml:space="preserve"> PAGEREF _Toc23137171 \h </w:instrText>
        </w:r>
        <w:r>
          <w:rPr>
            <w:noProof/>
            <w:webHidden/>
          </w:rPr>
        </w:r>
        <w:r>
          <w:rPr>
            <w:noProof/>
            <w:webHidden/>
          </w:rPr>
          <w:fldChar w:fldCharType="separate"/>
        </w:r>
        <w:r>
          <w:rPr>
            <w:noProof/>
            <w:webHidden/>
          </w:rPr>
          <w:t>19</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72" w:history="1">
        <w:r w:rsidRPr="00CB120B">
          <w:rPr>
            <w:rStyle w:val="Hipervnculo"/>
            <w:noProof/>
            <w14:shadow w14:blurRad="50800" w14:dist="38100" w14:dir="2700000" w14:sx="100000" w14:sy="100000" w14:kx="0" w14:ky="0" w14:algn="tl">
              <w14:srgbClr w14:val="000000">
                <w14:alpha w14:val="60000"/>
              </w14:srgbClr>
            </w14:shadow>
          </w:rPr>
          <w:t>12. MARCO JERÁRQUICO PARA EL PGOF DE LA CDMB</w:t>
        </w:r>
        <w:r>
          <w:rPr>
            <w:noProof/>
            <w:webHidden/>
          </w:rPr>
          <w:tab/>
        </w:r>
        <w:r>
          <w:rPr>
            <w:noProof/>
            <w:webHidden/>
          </w:rPr>
          <w:fldChar w:fldCharType="begin"/>
        </w:r>
        <w:r>
          <w:rPr>
            <w:noProof/>
            <w:webHidden/>
          </w:rPr>
          <w:instrText xml:space="preserve"> PAGEREF _Toc23137172 \h </w:instrText>
        </w:r>
        <w:r>
          <w:rPr>
            <w:noProof/>
            <w:webHidden/>
          </w:rPr>
        </w:r>
        <w:r>
          <w:rPr>
            <w:noProof/>
            <w:webHidden/>
          </w:rPr>
          <w:fldChar w:fldCharType="separate"/>
        </w:r>
        <w:r>
          <w:rPr>
            <w:noProof/>
            <w:webHidden/>
          </w:rPr>
          <w:t>20</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73" w:history="1">
        <w:r w:rsidRPr="00CB120B">
          <w:rPr>
            <w:rStyle w:val="Hipervnculo"/>
            <w:noProof/>
          </w:rPr>
          <w:t>12.1 UNIDAD MAYOR DE ORDENACIÓN FORESTAL</w:t>
        </w:r>
        <w:r>
          <w:rPr>
            <w:noProof/>
            <w:webHidden/>
          </w:rPr>
          <w:tab/>
        </w:r>
        <w:r>
          <w:rPr>
            <w:noProof/>
            <w:webHidden/>
          </w:rPr>
          <w:fldChar w:fldCharType="begin"/>
        </w:r>
        <w:r>
          <w:rPr>
            <w:noProof/>
            <w:webHidden/>
          </w:rPr>
          <w:instrText xml:space="preserve"> PAGEREF _Toc23137173 \h </w:instrText>
        </w:r>
        <w:r>
          <w:rPr>
            <w:noProof/>
            <w:webHidden/>
          </w:rPr>
        </w:r>
        <w:r>
          <w:rPr>
            <w:noProof/>
            <w:webHidden/>
          </w:rPr>
          <w:fldChar w:fldCharType="separate"/>
        </w:r>
        <w:r>
          <w:rPr>
            <w:noProof/>
            <w:webHidden/>
          </w:rPr>
          <w:t>20</w:t>
        </w:r>
        <w:r>
          <w:rPr>
            <w:noProof/>
            <w:webHidden/>
          </w:rPr>
          <w:fldChar w:fldCharType="end"/>
        </w:r>
      </w:hyperlink>
    </w:p>
    <w:p w:rsidR="00641B2D" w:rsidRDefault="00641B2D">
      <w:pPr>
        <w:pStyle w:val="TDC2"/>
        <w:tabs>
          <w:tab w:val="left" w:pos="6214"/>
          <w:tab w:val="right" w:leader="underscore" w:pos="9112"/>
        </w:tabs>
        <w:rPr>
          <w:rFonts w:eastAsiaTheme="minorEastAsia" w:cstheme="minorBidi"/>
          <w:b w:val="0"/>
          <w:bCs w:val="0"/>
          <w:noProof/>
          <w:lang w:val="es-CO" w:eastAsia="es-CO"/>
        </w:rPr>
      </w:pPr>
      <w:hyperlink w:anchor="_Toc23137174" w:history="1">
        <w:r w:rsidRPr="00CB120B">
          <w:rPr>
            <w:rStyle w:val="Hipervnculo"/>
            <w:noProof/>
          </w:rPr>
          <w:t>12.2 UNIDADES ADMINISTRATIVAS DE ORDENACIÓN FORESTAL</w:t>
        </w:r>
        <w:r>
          <w:rPr>
            <w:rFonts w:eastAsiaTheme="minorEastAsia" w:cstheme="minorBidi"/>
            <w:b w:val="0"/>
            <w:bCs w:val="0"/>
            <w:noProof/>
            <w:lang w:val="es-CO" w:eastAsia="es-CO"/>
          </w:rPr>
          <w:tab/>
        </w:r>
        <w:r w:rsidRPr="00CB120B">
          <w:rPr>
            <w:rStyle w:val="Hipervnculo"/>
            <w:noProof/>
          </w:rPr>
          <w:t xml:space="preserve"> - UAOF</w:t>
        </w:r>
        <w:r>
          <w:rPr>
            <w:noProof/>
            <w:webHidden/>
          </w:rPr>
          <w:tab/>
        </w:r>
        <w:r>
          <w:rPr>
            <w:noProof/>
            <w:webHidden/>
          </w:rPr>
          <w:fldChar w:fldCharType="begin"/>
        </w:r>
        <w:r>
          <w:rPr>
            <w:noProof/>
            <w:webHidden/>
          </w:rPr>
          <w:instrText xml:space="preserve"> PAGEREF _Toc23137174 \h </w:instrText>
        </w:r>
        <w:r>
          <w:rPr>
            <w:noProof/>
            <w:webHidden/>
          </w:rPr>
        </w:r>
        <w:r>
          <w:rPr>
            <w:noProof/>
            <w:webHidden/>
          </w:rPr>
          <w:fldChar w:fldCharType="separate"/>
        </w:r>
        <w:r>
          <w:rPr>
            <w:noProof/>
            <w:webHidden/>
          </w:rPr>
          <w:t>20</w:t>
        </w:r>
        <w:r>
          <w:rPr>
            <w:noProof/>
            <w:webHidden/>
          </w:rPr>
          <w:fldChar w:fldCharType="end"/>
        </w:r>
      </w:hyperlink>
    </w:p>
    <w:p w:rsidR="00641B2D" w:rsidRDefault="00641B2D">
      <w:pPr>
        <w:pStyle w:val="TDC3"/>
        <w:tabs>
          <w:tab w:val="right" w:leader="underscore" w:pos="9112"/>
        </w:tabs>
        <w:rPr>
          <w:rFonts w:eastAsiaTheme="minorEastAsia" w:cstheme="minorBidi"/>
          <w:noProof/>
          <w:sz w:val="22"/>
          <w:szCs w:val="22"/>
          <w:lang w:val="es-CO" w:eastAsia="es-CO"/>
        </w:rPr>
      </w:pPr>
      <w:hyperlink w:anchor="_Toc23137175" w:history="1">
        <w:r w:rsidRPr="00CB120B">
          <w:rPr>
            <w:rStyle w:val="Hipervnculo"/>
            <w:noProof/>
          </w:rPr>
          <w:t>12.2.1 Áreas Forestales</w:t>
        </w:r>
        <w:r>
          <w:rPr>
            <w:noProof/>
            <w:webHidden/>
          </w:rPr>
          <w:tab/>
        </w:r>
        <w:r>
          <w:rPr>
            <w:noProof/>
            <w:webHidden/>
          </w:rPr>
          <w:fldChar w:fldCharType="begin"/>
        </w:r>
        <w:r>
          <w:rPr>
            <w:noProof/>
            <w:webHidden/>
          </w:rPr>
          <w:instrText xml:space="preserve"> PAGEREF _Toc23137175 \h </w:instrText>
        </w:r>
        <w:r>
          <w:rPr>
            <w:noProof/>
            <w:webHidden/>
          </w:rPr>
        </w:r>
        <w:r>
          <w:rPr>
            <w:noProof/>
            <w:webHidden/>
          </w:rPr>
          <w:fldChar w:fldCharType="separate"/>
        </w:r>
        <w:r>
          <w:rPr>
            <w:noProof/>
            <w:webHidden/>
          </w:rPr>
          <w:t>20</w:t>
        </w:r>
        <w:r>
          <w:rPr>
            <w:noProof/>
            <w:webHidden/>
          </w:rPr>
          <w:fldChar w:fldCharType="end"/>
        </w:r>
      </w:hyperlink>
    </w:p>
    <w:p w:rsidR="00641B2D" w:rsidRDefault="00641B2D">
      <w:pPr>
        <w:pStyle w:val="TDC3"/>
        <w:tabs>
          <w:tab w:val="right" w:leader="underscore" w:pos="9112"/>
        </w:tabs>
        <w:rPr>
          <w:rFonts w:eastAsiaTheme="minorEastAsia" w:cstheme="minorBidi"/>
          <w:noProof/>
          <w:sz w:val="22"/>
          <w:szCs w:val="22"/>
          <w:lang w:val="es-CO" w:eastAsia="es-CO"/>
        </w:rPr>
      </w:pPr>
      <w:hyperlink w:anchor="_Toc23137176" w:history="1">
        <w:r w:rsidRPr="00CB120B">
          <w:rPr>
            <w:rStyle w:val="Hipervnculo"/>
            <w:noProof/>
          </w:rPr>
          <w:t>12.2.2 Áreas Protegidas</w:t>
        </w:r>
        <w:r>
          <w:rPr>
            <w:noProof/>
            <w:webHidden/>
          </w:rPr>
          <w:tab/>
        </w:r>
        <w:r>
          <w:rPr>
            <w:noProof/>
            <w:webHidden/>
          </w:rPr>
          <w:fldChar w:fldCharType="begin"/>
        </w:r>
        <w:r>
          <w:rPr>
            <w:noProof/>
            <w:webHidden/>
          </w:rPr>
          <w:instrText xml:space="preserve"> PAGEREF _Toc23137176 \h </w:instrText>
        </w:r>
        <w:r>
          <w:rPr>
            <w:noProof/>
            <w:webHidden/>
          </w:rPr>
        </w:r>
        <w:r>
          <w:rPr>
            <w:noProof/>
            <w:webHidden/>
          </w:rPr>
          <w:fldChar w:fldCharType="separate"/>
        </w:r>
        <w:r>
          <w:rPr>
            <w:noProof/>
            <w:webHidden/>
          </w:rPr>
          <w:t>20</w:t>
        </w:r>
        <w:r>
          <w:rPr>
            <w:noProof/>
            <w:webHidden/>
          </w:rPr>
          <w:fldChar w:fldCharType="end"/>
        </w:r>
      </w:hyperlink>
    </w:p>
    <w:p w:rsidR="00641B2D" w:rsidRDefault="00641B2D">
      <w:pPr>
        <w:pStyle w:val="TDC1"/>
        <w:tabs>
          <w:tab w:val="right" w:leader="underscore" w:pos="9112"/>
        </w:tabs>
        <w:rPr>
          <w:rFonts w:eastAsiaTheme="minorEastAsia" w:cstheme="minorBidi"/>
          <w:b w:val="0"/>
          <w:bCs w:val="0"/>
          <w:i w:val="0"/>
          <w:iCs w:val="0"/>
          <w:noProof/>
          <w:sz w:val="22"/>
          <w:szCs w:val="22"/>
          <w:lang w:val="es-CO" w:eastAsia="es-CO"/>
        </w:rPr>
      </w:pPr>
      <w:hyperlink w:anchor="_Toc23137177" w:history="1">
        <w:r w:rsidRPr="00CB120B">
          <w:rPr>
            <w:rStyle w:val="Hipervnculo"/>
            <w:noProof/>
          </w:rPr>
          <w:t>13. MARCO JURÍDICO NACIONAL PARA LA ADMINISTRACIÓN, MANEJO Y APROVECHAMIENTO DE LOS BOSQUES NATURALES</w:t>
        </w:r>
        <w:r>
          <w:rPr>
            <w:noProof/>
            <w:webHidden/>
          </w:rPr>
          <w:tab/>
        </w:r>
        <w:r>
          <w:rPr>
            <w:noProof/>
            <w:webHidden/>
          </w:rPr>
          <w:fldChar w:fldCharType="begin"/>
        </w:r>
        <w:r>
          <w:rPr>
            <w:noProof/>
            <w:webHidden/>
          </w:rPr>
          <w:instrText xml:space="preserve"> PAGEREF _Toc23137177 \h </w:instrText>
        </w:r>
        <w:r>
          <w:rPr>
            <w:noProof/>
            <w:webHidden/>
          </w:rPr>
        </w:r>
        <w:r>
          <w:rPr>
            <w:noProof/>
            <w:webHidden/>
          </w:rPr>
          <w:fldChar w:fldCharType="separate"/>
        </w:r>
        <w:r>
          <w:rPr>
            <w:noProof/>
            <w:webHidden/>
          </w:rPr>
          <w:t>23</w:t>
        </w:r>
        <w:r>
          <w:rPr>
            <w:noProof/>
            <w:webHidden/>
          </w:rPr>
          <w:fldChar w:fldCharType="end"/>
        </w:r>
      </w:hyperlink>
    </w:p>
    <w:p w:rsidR="00641B2D" w:rsidRDefault="00641B2D">
      <w:pPr>
        <w:pStyle w:val="TDC2"/>
        <w:tabs>
          <w:tab w:val="right" w:leader="underscore" w:pos="9112"/>
        </w:tabs>
        <w:rPr>
          <w:rFonts w:eastAsiaTheme="minorEastAsia" w:cstheme="minorBidi"/>
          <w:b w:val="0"/>
          <w:bCs w:val="0"/>
          <w:noProof/>
          <w:lang w:val="es-CO" w:eastAsia="es-CO"/>
        </w:rPr>
      </w:pPr>
      <w:hyperlink w:anchor="_Toc23137178" w:history="1">
        <w:r w:rsidRPr="00CB120B">
          <w:rPr>
            <w:rStyle w:val="Hipervnculo"/>
            <w:noProof/>
          </w:rPr>
          <w:t>13.1 NORMAS Y POLÍTICAS DIRECTAMENTE RELACIONADAS CON LA ADMINISTRACIÓN Y APROVECHAMIENTO DE LOS BOSQUES</w:t>
        </w:r>
        <w:r>
          <w:rPr>
            <w:noProof/>
            <w:webHidden/>
          </w:rPr>
          <w:tab/>
        </w:r>
        <w:r>
          <w:rPr>
            <w:noProof/>
            <w:webHidden/>
          </w:rPr>
          <w:fldChar w:fldCharType="begin"/>
        </w:r>
        <w:r>
          <w:rPr>
            <w:noProof/>
            <w:webHidden/>
          </w:rPr>
          <w:instrText xml:space="preserve"> PAGEREF _Toc23137178 \h </w:instrText>
        </w:r>
        <w:r>
          <w:rPr>
            <w:noProof/>
            <w:webHidden/>
          </w:rPr>
        </w:r>
        <w:r>
          <w:rPr>
            <w:noProof/>
            <w:webHidden/>
          </w:rPr>
          <w:fldChar w:fldCharType="separate"/>
        </w:r>
        <w:r>
          <w:rPr>
            <w:noProof/>
            <w:webHidden/>
          </w:rPr>
          <w:t>23</w:t>
        </w:r>
        <w:r>
          <w:rPr>
            <w:noProof/>
            <w:webHidden/>
          </w:rPr>
          <w:fldChar w:fldCharType="end"/>
        </w:r>
      </w:hyperlink>
    </w:p>
    <w:p w:rsidR="00641B2D" w:rsidRDefault="00641B2D">
      <w:pPr>
        <w:pStyle w:val="TDC3"/>
        <w:tabs>
          <w:tab w:val="right" w:leader="underscore" w:pos="9112"/>
        </w:tabs>
        <w:rPr>
          <w:rFonts w:eastAsiaTheme="minorEastAsia" w:cstheme="minorBidi"/>
          <w:noProof/>
          <w:sz w:val="22"/>
          <w:szCs w:val="22"/>
          <w:lang w:val="es-CO" w:eastAsia="es-CO"/>
        </w:rPr>
      </w:pPr>
      <w:hyperlink w:anchor="_Toc23137179" w:history="1">
        <w:r w:rsidRPr="00CB120B">
          <w:rPr>
            <w:rStyle w:val="Hipervnculo"/>
            <w:noProof/>
          </w:rPr>
          <w:t>13.1.1 Normas</w:t>
        </w:r>
        <w:r>
          <w:rPr>
            <w:noProof/>
            <w:webHidden/>
          </w:rPr>
          <w:tab/>
        </w:r>
        <w:r>
          <w:rPr>
            <w:noProof/>
            <w:webHidden/>
          </w:rPr>
          <w:fldChar w:fldCharType="begin"/>
        </w:r>
        <w:r>
          <w:rPr>
            <w:noProof/>
            <w:webHidden/>
          </w:rPr>
          <w:instrText xml:space="preserve"> PAGEREF _Toc23137179 \h </w:instrText>
        </w:r>
        <w:r>
          <w:rPr>
            <w:noProof/>
            <w:webHidden/>
          </w:rPr>
        </w:r>
        <w:r>
          <w:rPr>
            <w:noProof/>
            <w:webHidden/>
          </w:rPr>
          <w:fldChar w:fldCharType="separate"/>
        </w:r>
        <w:r>
          <w:rPr>
            <w:noProof/>
            <w:webHidden/>
          </w:rPr>
          <w:t>23</w:t>
        </w:r>
        <w:r>
          <w:rPr>
            <w:noProof/>
            <w:webHidden/>
          </w:rPr>
          <w:fldChar w:fldCharType="end"/>
        </w:r>
      </w:hyperlink>
    </w:p>
    <w:p w:rsidR="009B6355" w:rsidRPr="00C76D30" w:rsidRDefault="00C76D30" w:rsidP="00C76D30">
      <w:pPr>
        <w:jc w:val="center"/>
        <w:rPr>
          <w:b/>
          <w:lang w:val="es-CO"/>
        </w:rPr>
      </w:pPr>
      <w:r w:rsidRPr="00701ED0">
        <w:rPr>
          <w:rFonts w:asciiTheme="minorHAnsi" w:hAnsiTheme="minorHAnsi"/>
          <w:szCs w:val="22"/>
          <w:lang w:val="es-CO"/>
        </w:rPr>
        <w:fldChar w:fldCharType="end"/>
      </w:r>
      <w:r w:rsidRPr="00C76D30">
        <w:rPr>
          <w:b/>
          <w:lang w:val="es-CO"/>
        </w:rPr>
        <w:t>Lista de tablas</w:t>
      </w:r>
    </w:p>
    <w:p w:rsidR="00641B2D" w:rsidRDefault="00C76D30">
      <w:pPr>
        <w:pStyle w:val="Tabladeilustraciones"/>
        <w:tabs>
          <w:tab w:val="right" w:leader="underscore" w:pos="9112"/>
        </w:tabs>
        <w:rPr>
          <w:rFonts w:eastAsiaTheme="minorEastAsia" w:cstheme="minorBidi"/>
          <w:i w:val="0"/>
          <w:iCs w:val="0"/>
          <w:noProof/>
          <w:sz w:val="22"/>
          <w:szCs w:val="22"/>
          <w:lang w:val="es-CO" w:eastAsia="es-CO"/>
        </w:rPr>
      </w:pPr>
      <w:r>
        <w:rPr>
          <w:sz w:val="18"/>
          <w:szCs w:val="18"/>
          <w:lang w:val="es-CO"/>
        </w:rPr>
        <w:fldChar w:fldCharType="begin"/>
      </w:r>
      <w:r>
        <w:rPr>
          <w:sz w:val="18"/>
          <w:szCs w:val="18"/>
          <w:lang w:val="es-CO"/>
        </w:rPr>
        <w:instrText xml:space="preserve"> TOC \h \z \c "Tabla" </w:instrText>
      </w:r>
      <w:r>
        <w:rPr>
          <w:sz w:val="18"/>
          <w:szCs w:val="18"/>
          <w:lang w:val="es-CO"/>
        </w:rPr>
        <w:fldChar w:fldCharType="separate"/>
      </w:r>
      <w:hyperlink w:anchor="_Toc23137180" w:history="1">
        <w:r w:rsidR="00641B2D" w:rsidRPr="00F04C01">
          <w:rPr>
            <w:rStyle w:val="Hipervnculo"/>
            <w:noProof/>
          </w:rPr>
          <w:t>Tabla 1. Elementos diferenciales existentes entre la Ordenación Forestal clásica y la Ordenación Forestal integral y sostenible</w:t>
        </w:r>
        <w:r w:rsidR="00641B2D">
          <w:rPr>
            <w:noProof/>
            <w:webHidden/>
          </w:rPr>
          <w:tab/>
        </w:r>
        <w:r w:rsidR="00641B2D">
          <w:rPr>
            <w:noProof/>
            <w:webHidden/>
          </w:rPr>
          <w:fldChar w:fldCharType="begin"/>
        </w:r>
        <w:r w:rsidR="00641B2D">
          <w:rPr>
            <w:noProof/>
            <w:webHidden/>
          </w:rPr>
          <w:instrText xml:space="preserve"> PAGEREF _Toc23137180 \h </w:instrText>
        </w:r>
        <w:r w:rsidR="00641B2D">
          <w:rPr>
            <w:noProof/>
            <w:webHidden/>
          </w:rPr>
        </w:r>
        <w:r w:rsidR="00641B2D">
          <w:rPr>
            <w:noProof/>
            <w:webHidden/>
          </w:rPr>
          <w:fldChar w:fldCharType="separate"/>
        </w:r>
        <w:r w:rsidR="00641B2D">
          <w:rPr>
            <w:noProof/>
            <w:webHidden/>
          </w:rPr>
          <w:t>2</w:t>
        </w:r>
        <w:r w:rsidR="00641B2D">
          <w:rPr>
            <w:noProof/>
            <w:webHidden/>
          </w:rPr>
          <w:fldChar w:fldCharType="end"/>
        </w:r>
      </w:hyperlink>
    </w:p>
    <w:p w:rsidR="00641B2D" w:rsidRDefault="00641B2D">
      <w:pPr>
        <w:pStyle w:val="Tabladeilustraciones"/>
        <w:tabs>
          <w:tab w:val="right" w:leader="underscore" w:pos="9112"/>
        </w:tabs>
        <w:rPr>
          <w:rFonts w:eastAsiaTheme="minorEastAsia" w:cstheme="minorBidi"/>
          <w:i w:val="0"/>
          <w:iCs w:val="0"/>
          <w:noProof/>
          <w:sz w:val="22"/>
          <w:szCs w:val="22"/>
          <w:lang w:val="es-CO" w:eastAsia="es-CO"/>
        </w:rPr>
      </w:pPr>
      <w:hyperlink w:anchor="_Toc23137181" w:history="1">
        <w:r w:rsidRPr="00F04C01">
          <w:rPr>
            <w:rStyle w:val="Hipervnculo"/>
            <w:noProof/>
          </w:rPr>
          <w:t xml:space="preserve">Tabla 2. </w:t>
        </w:r>
        <w:r w:rsidRPr="00F04C01">
          <w:rPr>
            <w:rStyle w:val="Hipervnculo"/>
            <w:rFonts w:cs="Arial"/>
            <w:noProof/>
            <w:lang w:val="es-CO"/>
          </w:rPr>
          <w:t>Comparación de elementos conceptuales del Manejo Convencional y del Manejo Ecosistémico</w:t>
        </w:r>
        <w:r>
          <w:rPr>
            <w:noProof/>
            <w:webHidden/>
          </w:rPr>
          <w:tab/>
        </w:r>
        <w:r>
          <w:rPr>
            <w:noProof/>
            <w:webHidden/>
          </w:rPr>
          <w:fldChar w:fldCharType="begin"/>
        </w:r>
        <w:r>
          <w:rPr>
            <w:noProof/>
            <w:webHidden/>
          </w:rPr>
          <w:instrText xml:space="preserve"> PAGEREF _Toc23137181 \h </w:instrText>
        </w:r>
        <w:r>
          <w:rPr>
            <w:noProof/>
            <w:webHidden/>
          </w:rPr>
        </w:r>
        <w:r>
          <w:rPr>
            <w:noProof/>
            <w:webHidden/>
          </w:rPr>
          <w:fldChar w:fldCharType="separate"/>
        </w:r>
        <w:r>
          <w:rPr>
            <w:noProof/>
            <w:webHidden/>
          </w:rPr>
          <w:t>9</w:t>
        </w:r>
        <w:r>
          <w:rPr>
            <w:noProof/>
            <w:webHidden/>
          </w:rPr>
          <w:fldChar w:fldCharType="end"/>
        </w:r>
      </w:hyperlink>
    </w:p>
    <w:p w:rsidR="00641B2D" w:rsidRDefault="00641B2D">
      <w:pPr>
        <w:pStyle w:val="Tabladeilustraciones"/>
        <w:tabs>
          <w:tab w:val="right" w:leader="underscore" w:pos="9112"/>
        </w:tabs>
        <w:rPr>
          <w:rFonts w:eastAsiaTheme="minorEastAsia" w:cstheme="minorBidi"/>
          <w:i w:val="0"/>
          <w:iCs w:val="0"/>
          <w:noProof/>
          <w:sz w:val="22"/>
          <w:szCs w:val="22"/>
          <w:lang w:val="es-CO" w:eastAsia="es-CO"/>
        </w:rPr>
      </w:pPr>
      <w:hyperlink w:anchor="_Toc23137182" w:history="1">
        <w:r w:rsidRPr="00F04C01">
          <w:rPr>
            <w:rStyle w:val="Hipervnculo"/>
            <w:noProof/>
          </w:rPr>
          <w:t xml:space="preserve">Tabla 3. </w:t>
        </w:r>
        <w:r w:rsidRPr="00F04C01">
          <w:rPr>
            <w:rStyle w:val="Hipervnculo"/>
            <w:noProof/>
            <w:lang w:val="es-CO"/>
          </w:rPr>
          <w:t>Tierras de Vocación Forestal y Agroforestal Objeto de la Ordenación Forestal Integral y Sostenible en Colombia</w:t>
        </w:r>
        <w:r>
          <w:rPr>
            <w:noProof/>
            <w:webHidden/>
          </w:rPr>
          <w:tab/>
        </w:r>
        <w:r>
          <w:rPr>
            <w:noProof/>
            <w:webHidden/>
          </w:rPr>
          <w:fldChar w:fldCharType="begin"/>
        </w:r>
        <w:r>
          <w:rPr>
            <w:noProof/>
            <w:webHidden/>
          </w:rPr>
          <w:instrText xml:space="preserve"> PAGEREF _Toc23137182 \h </w:instrText>
        </w:r>
        <w:r>
          <w:rPr>
            <w:noProof/>
            <w:webHidden/>
          </w:rPr>
        </w:r>
        <w:r>
          <w:rPr>
            <w:noProof/>
            <w:webHidden/>
          </w:rPr>
          <w:fldChar w:fldCharType="separate"/>
        </w:r>
        <w:r>
          <w:rPr>
            <w:noProof/>
            <w:webHidden/>
          </w:rPr>
          <w:t>12</w:t>
        </w:r>
        <w:r>
          <w:rPr>
            <w:noProof/>
            <w:webHidden/>
          </w:rPr>
          <w:fldChar w:fldCharType="end"/>
        </w:r>
      </w:hyperlink>
    </w:p>
    <w:p w:rsidR="00641B2D" w:rsidRDefault="00641B2D">
      <w:pPr>
        <w:pStyle w:val="Tabladeilustraciones"/>
        <w:tabs>
          <w:tab w:val="right" w:leader="underscore" w:pos="9112"/>
        </w:tabs>
        <w:rPr>
          <w:rFonts w:eastAsiaTheme="minorEastAsia" w:cstheme="minorBidi"/>
          <w:i w:val="0"/>
          <w:iCs w:val="0"/>
          <w:noProof/>
          <w:sz w:val="22"/>
          <w:szCs w:val="22"/>
          <w:lang w:val="es-CO" w:eastAsia="es-CO"/>
        </w:rPr>
      </w:pPr>
      <w:hyperlink w:anchor="_Toc23137183" w:history="1">
        <w:r w:rsidRPr="00F04C01">
          <w:rPr>
            <w:rStyle w:val="Hipervnculo"/>
            <w:noProof/>
          </w:rPr>
          <w:t>Tabla 4. Área total por tipo de c</w:t>
        </w:r>
        <w:r w:rsidRPr="00F04C01">
          <w:rPr>
            <w:rStyle w:val="Hipervnculo"/>
            <w:rFonts w:eastAsiaTheme="minorHAnsi" w:cs="Gill Sans MT"/>
            <w:noProof/>
            <w:lang w:val="es-CO" w:eastAsia="en-US"/>
          </w:rPr>
          <w:t>oberturas boscosas de Colombia - 2012</w:t>
        </w:r>
        <w:r>
          <w:rPr>
            <w:noProof/>
            <w:webHidden/>
          </w:rPr>
          <w:tab/>
        </w:r>
        <w:r>
          <w:rPr>
            <w:noProof/>
            <w:webHidden/>
          </w:rPr>
          <w:fldChar w:fldCharType="begin"/>
        </w:r>
        <w:r>
          <w:rPr>
            <w:noProof/>
            <w:webHidden/>
          </w:rPr>
          <w:instrText xml:space="preserve"> PAGEREF _Toc23137183 \h </w:instrText>
        </w:r>
        <w:r>
          <w:rPr>
            <w:noProof/>
            <w:webHidden/>
          </w:rPr>
        </w:r>
        <w:r>
          <w:rPr>
            <w:noProof/>
            <w:webHidden/>
          </w:rPr>
          <w:fldChar w:fldCharType="separate"/>
        </w:r>
        <w:r>
          <w:rPr>
            <w:noProof/>
            <w:webHidden/>
          </w:rPr>
          <w:t>13</w:t>
        </w:r>
        <w:r>
          <w:rPr>
            <w:noProof/>
            <w:webHidden/>
          </w:rPr>
          <w:fldChar w:fldCharType="end"/>
        </w:r>
      </w:hyperlink>
    </w:p>
    <w:p w:rsidR="00C76D30" w:rsidRDefault="00C76D30" w:rsidP="009B6355">
      <w:pPr>
        <w:contextualSpacing/>
        <w:rPr>
          <w:sz w:val="18"/>
          <w:szCs w:val="18"/>
          <w:lang w:val="es-CO"/>
        </w:rPr>
      </w:pPr>
      <w:r>
        <w:rPr>
          <w:sz w:val="18"/>
          <w:szCs w:val="18"/>
          <w:lang w:val="es-CO"/>
        </w:rPr>
        <w:fldChar w:fldCharType="end"/>
      </w:r>
    </w:p>
    <w:p w:rsidR="00C76D30" w:rsidRDefault="00C76D30" w:rsidP="00C76D30">
      <w:pPr>
        <w:contextualSpacing/>
        <w:jc w:val="center"/>
        <w:rPr>
          <w:b/>
          <w:szCs w:val="22"/>
          <w:lang w:val="es-CO"/>
        </w:rPr>
      </w:pPr>
      <w:r w:rsidRPr="00C76D30">
        <w:rPr>
          <w:b/>
          <w:szCs w:val="22"/>
          <w:lang w:val="es-CO"/>
        </w:rPr>
        <w:t>Lista de fuguras</w:t>
      </w:r>
    </w:p>
    <w:bookmarkStart w:id="0" w:name="_GoBack"/>
    <w:bookmarkEnd w:id="0"/>
    <w:p w:rsidR="00641B2D" w:rsidRDefault="00C76D30">
      <w:pPr>
        <w:pStyle w:val="Tabladeilustraciones"/>
        <w:tabs>
          <w:tab w:val="right" w:leader="underscore" w:pos="9112"/>
        </w:tabs>
        <w:rPr>
          <w:rFonts w:eastAsiaTheme="minorEastAsia" w:cstheme="minorBidi"/>
          <w:i w:val="0"/>
          <w:iCs w:val="0"/>
          <w:noProof/>
          <w:sz w:val="22"/>
          <w:szCs w:val="22"/>
          <w:lang w:val="es-CO" w:eastAsia="es-CO"/>
        </w:rPr>
      </w:pPr>
      <w:r>
        <w:rPr>
          <w:b/>
          <w:szCs w:val="22"/>
          <w:lang w:val="es-CO"/>
        </w:rPr>
        <w:fldChar w:fldCharType="begin"/>
      </w:r>
      <w:r>
        <w:rPr>
          <w:b/>
          <w:szCs w:val="22"/>
          <w:lang w:val="es-CO"/>
        </w:rPr>
        <w:instrText xml:space="preserve"> TOC \h \z \c "Figura" </w:instrText>
      </w:r>
      <w:r>
        <w:rPr>
          <w:b/>
          <w:szCs w:val="22"/>
          <w:lang w:val="es-CO"/>
        </w:rPr>
        <w:fldChar w:fldCharType="separate"/>
      </w:r>
      <w:hyperlink w:anchor="_Toc23137184" w:history="1">
        <w:r w:rsidR="00641B2D" w:rsidRPr="001B5EAB">
          <w:rPr>
            <w:rStyle w:val="Hipervnculo"/>
            <w:noProof/>
          </w:rPr>
          <w:t>Figura 1. Flujo</w:t>
        </w:r>
        <w:r w:rsidR="00641B2D" w:rsidRPr="001B5EAB">
          <w:rPr>
            <w:rStyle w:val="Hipervnculo"/>
            <w:rFonts w:cs="Arial"/>
            <w:noProof/>
          </w:rPr>
          <w:t xml:space="preserve"> del Proceso  (fases y pasos) de Formulación e Implementación de la Ordenación Forestal Integral y Sostenible</w:t>
        </w:r>
        <w:r w:rsidR="00641B2D">
          <w:rPr>
            <w:noProof/>
            <w:webHidden/>
          </w:rPr>
          <w:tab/>
        </w:r>
        <w:r w:rsidR="00641B2D">
          <w:rPr>
            <w:noProof/>
            <w:webHidden/>
          </w:rPr>
          <w:fldChar w:fldCharType="begin"/>
        </w:r>
        <w:r w:rsidR="00641B2D">
          <w:rPr>
            <w:noProof/>
            <w:webHidden/>
          </w:rPr>
          <w:instrText xml:space="preserve"> PAGEREF _Toc23137184 \h </w:instrText>
        </w:r>
        <w:r w:rsidR="00641B2D">
          <w:rPr>
            <w:noProof/>
            <w:webHidden/>
          </w:rPr>
        </w:r>
        <w:r w:rsidR="00641B2D">
          <w:rPr>
            <w:noProof/>
            <w:webHidden/>
          </w:rPr>
          <w:fldChar w:fldCharType="separate"/>
        </w:r>
        <w:r w:rsidR="00641B2D">
          <w:rPr>
            <w:noProof/>
            <w:webHidden/>
          </w:rPr>
          <w:t>19</w:t>
        </w:r>
        <w:r w:rsidR="00641B2D">
          <w:rPr>
            <w:noProof/>
            <w:webHidden/>
          </w:rPr>
          <w:fldChar w:fldCharType="end"/>
        </w:r>
      </w:hyperlink>
    </w:p>
    <w:p w:rsidR="00641B2D" w:rsidRDefault="00641B2D">
      <w:pPr>
        <w:pStyle w:val="Tabladeilustraciones"/>
        <w:tabs>
          <w:tab w:val="right" w:leader="underscore" w:pos="9112"/>
        </w:tabs>
        <w:rPr>
          <w:rFonts w:eastAsiaTheme="minorEastAsia" w:cstheme="minorBidi"/>
          <w:i w:val="0"/>
          <w:iCs w:val="0"/>
          <w:noProof/>
          <w:sz w:val="22"/>
          <w:szCs w:val="22"/>
          <w:lang w:val="es-CO" w:eastAsia="es-CO"/>
        </w:rPr>
      </w:pPr>
      <w:hyperlink w:anchor="_Toc23137185" w:history="1">
        <w:r w:rsidRPr="001B5EAB">
          <w:rPr>
            <w:rStyle w:val="Hipervnculo"/>
            <w:noProof/>
          </w:rPr>
          <w:t xml:space="preserve">Figura 2. </w:t>
        </w:r>
        <w:r w:rsidRPr="001B5EAB">
          <w:rPr>
            <w:rStyle w:val="Hipervnculo"/>
            <w:rFonts w:cs="Arial"/>
            <w:noProof/>
          </w:rPr>
          <w:t>Esquema de los Niveles de Planificación Involucrados en la Ordenación Forestal Integral y Sostenible</w:t>
        </w:r>
        <w:r>
          <w:rPr>
            <w:noProof/>
            <w:webHidden/>
          </w:rPr>
          <w:tab/>
        </w:r>
        <w:r>
          <w:rPr>
            <w:noProof/>
            <w:webHidden/>
          </w:rPr>
          <w:fldChar w:fldCharType="begin"/>
        </w:r>
        <w:r>
          <w:rPr>
            <w:noProof/>
            <w:webHidden/>
          </w:rPr>
          <w:instrText xml:space="preserve"> PAGEREF _Toc23137185 \h </w:instrText>
        </w:r>
        <w:r>
          <w:rPr>
            <w:noProof/>
            <w:webHidden/>
          </w:rPr>
        </w:r>
        <w:r>
          <w:rPr>
            <w:noProof/>
            <w:webHidden/>
          </w:rPr>
          <w:fldChar w:fldCharType="separate"/>
        </w:r>
        <w:r>
          <w:rPr>
            <w:noProof/>
            <w:webHidden/>
          </w:rPr>
          <w:t>23</w:t>
        </w:r>
        <w:r>
          <w:rPr>
            <w:noProof/>
            <w:webHidden/>
          </w:rPr>
          <w:fldChar w:fldCharType="end"/>
        </w:r>
      </w:hyperlink>
    </w:p>
    <w:p w:rsidR="00C76D30" w:rsidRPr="00C76D30" w:rsidRDefault="00C76D30" w:rsidP="00C76D30">
      <w:pPr>
        <w:contextualSpacing/>
        <w:jc w:val="center"/>
        <w:rPr>
          <w:b/>
          <w:szCs w:val="22"/>
          <w:lang w:val="es-CO"/>
        </w:rPr>
      </w:pPr>
      <w:r>
        <w:rPr>
          <w:b/>
          <w:szCs w:val="22"/>
          <w:lang w:val="es-CO"/>
        </w:rPr>
        <w:fldChar w:fldCharType="end"/>
      </w:r>
    </w:p>
    <w:p w:rsidR="00C76D30" w:rsidRDefault="00C76D30" w:rsidP="009B6355">
      <w:pPr>
        <w:contextualSpacing/>
        <w:rPr>
          <w:sz w:val="18"/>
          <w:szCs w:val="18"/>
          <w:lang w:val="es-CO"/>
        </w:rPr>
      </w:pPr>
    </w:p>
    <w:p w:rsidR="009B6355" w:rsidRDefault="009B6355" w:rsidP="009B6355">
      <w:pPr>
        <w:contextualSpacing/>
        <w:rPr>
          <w:rFonts w:cs="Arial"/>
          <w:b/>
          <w:szCs w:val="22"/>
          <w:lang w:val="es-CO"/>
        </w:rPr>
        <w:sectPr w:rsidR="009B6355" w:rsidSect="009B6355">
          <w:headerReference w:type="default" r:id="rId9"/>
          <w:footerReference w:type="even" r:id="rId10"/>
          <w:footerReference w:type="default" r:id="rId11"/>
          <w:type w:val="continuous"/>
          <w:pgSz w:w="12242" w:h="15842"/>
          <w:pgMar w:top="1418" w:right="1418" w:bottom="1418" w:left="1418" w:header="720" w:footer="794" w:gutter="284"/>
          <w:pgNumType w:fmt="lowerRoman" w:start="1"/>
          <w:cols w:space="720"/>
          <w:docGrid w:linePitch="326"/>
        </w:sectPr>
      </w:pPr>
    </w:p>
    <w:p w:rsidR="005858D1" w:rsidRPr="005858D1" w:rsidRDefault="00C3046C" w:rsidP="009B6355">
      <w:pPr>
        <w:contextualSpacing/>
        <w:rPr>
          <w:rFonts w:cs="Arial"/>
          <w:b/>
          <w:szCs w:val="22"/>
          <w:lang w:val="es-CO"/>
        </w:rPr>
      </w:pPr>
      <w:r w:rsidRPr="005858D1">
        <w:rPr>
          <w:rFonts w:cs="Arial"/>
          <w:b/>
          <w:szCs w:val="22"/>
          <w:lang w:val="es-CO"/>
        </w:rPr>
        <w:lastRenderedPageBreak/>
        <w:t xml:space="preserve">CAPÍTULO </w:t>
      </w:r>
      <w:r w:rsidR="00E547AB" w:rsidRPr="005858D1">
        <w:rPr>
          <w:rFonts w:cs="Arial"/>
          <w:b/>
          <w:szCs w:val="22"/>
          <w:lang w:val="es-CO"/>
        </w:rPr>
        <w:t>I.</w:t>
      </w:r>
    </w:p>
    <w:p w:rsidR="00D7248B" w:rsidRPr="005858D1" w:rsidRDefault="004062F3" w:rsidP="004062F3">
      <w:pPr>
        <w:pStyle w:val="Ttulo1"/>
      </w:pPr>
      <w:bookmarkStart w:id="1" w:name="_Toc23137152"/>
      <w:r>
        <w:t xml:space="preserve">1. </w:t>
      </w:r>
      <w:r w:rsidR="00526CB3">
        <w:t>MARCO CONCEPTUAL</w:t>
      </w:r>
      <w:bookmarkEnd w:id="1"/>
    </w:p>
    <w:p w:rsidR="007A43BB" w:rsidRDefault="004957DE" w:rsidP="004062F3">
      <w:pPr>
        <w:rPr>
          <w:lang w:val="es-CO"/>
        </w:rPr>
      </w:pPr>
      <w:r>
        <w:rPr>
          <w:lang w:val="es-CO"/>
        </w:rPr>
        <w:t xml:space="preserve">El presente </w:t>
      </w:r>
      <w:r w:rsidR="004062F3">
        <w:rPr>
          <w:lang w:val="es-CO"/>
        </w:rPr>
        <w:t>c</w:t>
      </w:r>
      <w:r>
        <w:rPr>
          <w:lang w:val="es-CO"/>
        </w:rPr>
        <w:t>apítulo describe diferentes</w:t>
      </w:r>
      <w:r w:rsidRPr="004957DE">
        <w:rPr>
          <w:lang w:val="es-CO"/>
        </w:rPr>
        <w:t xml:space="preserve"> elementos </w:t>
      </w:r>
      <w:r w:rsidR="002F66F5">
        <w:rPr>
          <w:lang w:val="es-CO"/>
        </w:rPr>
        <w:t>conceptual</w:t>
      </w:r>
      <w:r w:rsidR="000547CB">
        <w:rPr>
          <w:lang w:val="es-CO"/>
        </w:rPr>
        <w:t xml:space="preserve">es necesarios para realizar de la mejor manera la </w:t>
      </w:r>
      <w:r>
        <w:rPr>
          <w:lang w:val="es-CO"/>
        </w:rPr>
        <w:t>aprehen</w:t>
      </w:r>
      <w:r w:rsidR="000547CB">
        <w:rPr>
          <w:lang w:val="es-CO"/>
        </w:rPr>
        <w:t xml:space="preserve">sión y la </w:t>
      </w:r>
      <w:r>
        <w:rPr>
          <w:lang w:val="es-CO"/>
        </w:rPr>
        <w:t>compren</w:t>
      </w:r>
      <w:r w:rsidR="000547CB">
        <w:rPr>
          <w:lang w:val="es-CO"/>
        </w:rPr>
        <w:t>sión</w:t>
      </w:r>
      <w:r>
        <w:rPr>
          <w:lang w:val="es-CO"/>
        </w:rPr>
        <w:t xml:space="preserve"> </w:t>
      </w:r>
      <w:r w:rsidR="000547CB">
        <w:rPr>
          <w:lang w:val="es-CO"/>
        </w:rPr>
        <w:t xml:space="preserve">sobre </w:t>
      </w:r>
      <w:r w:rsidR="002F66F5">
        <w:rPr>
          <w:lang w:val="es-CO"/>
        </w:rPr>
        <w:t xml:space="preserve">el enfoque </w:t>
      </w:r>
      <w:r w:rsidR="002F66F5" w:rsidRPr="002A09C9">
        <w:rPr>
          <w:lang w:val="es-CO"/>
        </w:rPr>
        <w:t xml:space="preserve">de la Ordenación Forestal Integral y Sostenible </w:t>
      </w:r>
      <w:r w:rsidR="000547CB">
        <w:rPr>
          <w:lang w:val="es-CO"/>
        </w:rPr>
        <w:t xml:space="preserve">a construir para </w:t>
      </w:r>
      <w:r w:rsidR="00526CB3">
        <w:rPr>
          <w:lang w:val="es-CO"/>
        </w:rPr>
        <w:t xml:space="preserve">la jurisdicción de la Corporación Autónoma Regional </w:t>
      </w:r>
      <w:r w:rsidR="007A43BB" w:rsidRPr="007A43BB">
        <w:rPr>
          <w:lang w:val="es-CO"/>
        </w:rPr>
        <w:t>para la Defensa de la Meseta de Bucaramanga</w:t>
      </w:r>
      <w:r w:rsidR="007A43BB">
        <w:rPr>
          <w:lang w:val="es-CO"/>
        </w:rPr>
        <w:t xml:space="preserve"> (CDMB)</w:t>
      </w:r>
      <w:r w:rsidR="000547CB">
        <w:rPr>
          <w:lang w:val="es-CO"/>
        </w:rPr>
        <w:t xml:space="preserve">. Que es una </w:t>
      </w:r>
      <w:r w:rsidR="007A43BB">
        <w:rPr>
          <w:lang w:val="es-CO"/>
        </w:rPr>
        <w:t xml:space="preserve">autoridad ambiental creada mediante la Ley 99 de 1993 </w:t>
      </w:r>
      <w:r w:rsidR="007A43BB" w:rsidRPr="007A43BB">
        <w:rPr>
          <w:lang w:val="es-CO"/>
        </w:rPr>
        <w:t>"Por la cual se crea el Ministerio de Ambiente, Vivienda y Desarrollo Territorial, se reordena el sector público encargado de la gestión y conservación del Medio Ambiente y los recursos naturales renovables, se organiza el Sistema Nacional Ambiental - SINA - y</w:t>
      </w:r>
      <w:r w:rsidR="007A43BB">
        <w:rPr>
          <w:lang w:val="es-CO"/>
        </w:rPr>
        <w:t xml:space="preserve"> se dictan otras disposiciones" (</w:t>
      </w:r>
      <w:r w:rsidR="007A43BB" w:rsidRPr="007A43BB">
        <w:rPr>
          <w:lang w:val="es-CO"/>
        </w:rPr>
        <w:t>Título VI : de las Corporaciones Autónomas Regionales</w:t>
      </w:r>
      <w:r w:rsidR="004062F3">
        <w:rPr>
          <w:lang w:val="es-CO"/>
        </w:rPr>
        <w:t>).</w:t>
      </w:r>
    </w:p>
    <w:p w:rsidR="007A43BB" w:rsidRDefault="007A43BB" w:rsidP="004062F3">
      <w:pPr>
        <w:rPr>
          <w:lang w:val="es-CO"/>
        </w:rPr>
      </w:pPr>
      <w:r>
        <w:rPr>
          <w:lang w:val="es-CO"/>
        </w:rPr>
        <w:t xml:space="preserve">La CDMB </w:t>
      </w:r>
      <w:r w:rsidRPr="007A43BB">
        <w:rPr>
          <w:lang w:val="es-CO"/>
        </w:rPr>
        <w:t>tiene por objeto la ejecución de las políticas, planes, programas y proyectos sobre medio ambiente y recursos naturales renovables, así como dar cumplida y oportuna aplicación a las disposiciones legales vigentes sobre su disposición, administración, manejo y aprovechamiento, conforme a las regulaciones, pautas y directrices expedidas por el</w:t>
      </w:r>
      <w:r>
        <w:rPr>
          <w:lang w:val="es-CO"/>
        </w:rPr>
        <w:t xml:space="preserve"> Ministerio de Ambiente y Desarrollo Sostenible</w:t>
      </w:r>
      <w:r w:rsidR="00782C70">
        <w:rPr>
          <w:lang w:val="es-CO"/>
        </w:rPr>
        <w:t xml:space="preserve"> de la República de Colombia</w:t>
      </w:r>
      <w:r>
        <w:rPr>
          <w:lang w:val="es-CO"/>
        </w:rPr>
        <w:t xml:space="preserve"> (anterior</w:t>
      </w:r>
      <w:r w:rsidRPr="007A43BB">
        <w:rPr>
          <w:lang w:val="es-CO"/>
        </w:rPr>
        <w:t xml:space="preserve"> Ministerio de Ambiente, Vivienda y Desarrollo Territorial</w:t>
      </w:r>
      <w:r>
        <w:rPr>
          <w:lang w:val="es-CO"/>
        </w:rPr>
        <w:t>)</w:t>
      </w:r>
      <w:r w:rsidRPr="007A43BB">
        <w:rPr>
          <w:lang w:val="es-CO"/>
        </w:rPr>
        <w:t>.</w:t>
      </w:r>
    </w:p>
    <w:p w:rsidR="00E43F91" w:rsidRPr="00AB1269" w:rsidRDefault="00AB1269" w:rsidP="004062F3">
      <w:pPr>
        <w:pStyle w:val="Ttulo2"/>
        <w:rPr>
          <w:lang w:val="es-CO"/>
        </w:rPr>
      </w:pPr>
      <w:bookmarkStart w:id="2" w:name="_Toc23137153"/>
      <w:r>
        <w:rPr>
          <w:b/>
          <w:lang w:val="es-CO"/>
        </w:rPr>
        <w:t xml:space="preserve">1.1 </w:t>
      </w:r>
      <w:r w:rsidR="00E43F91" w:rsidRPr="00AB1269">
        <w:rPr>
          <w:b/>
          <w:lang w:val="es-CO"/>
        </w:rPr>
        <w:t>CONTEXTO GLOBAL</w:t>
      </w:r>
      <w:bookmarkEnd w:id="2"/>
    </w:p>
    <w:p w:rsidR="00782C70" w:rsidRDefault="00782C70" w:rsidP="004062F3">
      <w:pPr>
        <w:rPr>
          <w:lang w:val="es-CO"/>
        </w:rPr>
      </w:pPr>
      <w:r>
        <w:rPr>
          <w:lang w:val="es-CO"/>
        </w:rPr>
        <w:t>E</w:t>
      </w:r>
      <w:r w:rsidR="00E43F91">
        <w:rPr>
          <w:lang w:val="es-CO"/>
        </w:rPr>
        <w:t>l concepto y la instrumentación de la ordenación forestal han evolucionado a través del tiempo</w:t>
      </w:r>
      <w:r w:rsidR="004062F3">
        <w:rPr>
          <w:lang w:val="es-CO"/>
        </w:rPr>
        <w:t>, en cuatro</w:t>
      </w:r>
      <w:r w:rsidR="007B1CC8">
        <w:rPr>
          <w:lang w:val="es-CO"/>
        </w:rPr>
        <w:t xml:space="preserve"> </w:t>
      </w:r>
      <w:r w:rsidR="004062F3">
        <w:rPr>
          <w:lang w:val="es-CO"/>
        </w:rPr>
        <w:t>grandes momentos:</w:t>
      </w:r>
    </w:p>
    <w:p w:rsidR="00782C70" w:rsidRPr="004062F3" w:rsidRDefault="00782C70" w:rsidP="00446ECB">
      <w:pPr>
        <w:pStyle w:val="Prrafodelista"/>
        <w:numPr>
          <w:ilvl w:val="0"/>
          <w:numId w:val="15"/>
        </w:numPr>
        <w:rPr>
          <w:szCs w:val="22"/>
          <w:lang w:val="es-CO"/>
        </w:rPr>
      </w:pPr>
      <w:r w:rsidRPr="004062F3">
        <w:rPr>
          <w:szCs w:val="22"/>
          <w:lang w:val="es-CO"/>
        </w:rPr>
        <w:t>La Ordenación Forestal Original</w:t>
      </w:r>
    </w:p>
    <w:p w:rsidR="00782C70" w:rsidRPr="004062F3" w:rsidRDefault="00782C70" w:rsidP="00446ECB">
      <w:pPr>
        <w:pStyle w:val="Prrafodelista"/>
        <w:numPr>
          <w:ilvl w:val="0"/>
          <w:numId w:val="15"/>
        </w:numPr>
        <w:rPr>
          <w:szCs w:val="22"/>
          <w:lang w:val="es-CO"/>
        </w:rPr>
      </w:pPr>
      <w:r w:rsidRPr="004062F3">
        <w:rPr>
          <w:szCs w:val="22"/>
          <w:lang w:val="es-CO"/>
        </w:rPr>
        <w:t>La Ordenación Forestal Clásica o Convencional</w:t>
      </w:r>
    </w:p>
    <w:p w:rsidR="00782C70" w:rsidRPr="004062F3" w:rsidRDefault="00782C70" w:rsidP="00446ECB">
      <w:pPr>
        <w:pStyle w:val="Prrafodelista"/>
        <w:numPr>
          <w:ilvl w:val="0"/>
          <w:numId w:val="15"/>
        </w:numPr>
        <w:rPr>
          <w:szCs w:val="22"/>
          <w:lang w:val="es-CO"/>
        </w:rPr>
      </w:pPr>
      <w:r w:rsidRPr="004062F3">
        <w:rPr>
          <w:szCs w:val="22"/>
          <w:lang w:val="es-CO"/>
        </w:rPr>
        <w:t>La Ordenación Forestal Sostenible</w:t>
      </w:r>
    </w:p>
    <w:p w:rsidR="00782C70" w:rsidRPr="004062F3" w:rsidRDefault="00782C70" w:rsidP="00446ECB">
      <w:pPr>
        <w:pStyle w:val="Prrafodelista"/>
        <w:numPr>
          <w:ilvl w:val="0"/>
          <w:numId w:val="15"/>
        </w:numPr>
        <w:rPr>
          <w:szCs w:val="22"/>
          <w:lang w:val="es-CO"/>
        </w:rPr>
      </w:pPr>
      <w:r w:rsidRPr="004062F3">
        <w:rPr>
          <w:szCs w:val="22"/>
          <w:lang w:val="es-CO"/>
        </w:rPr>
        <w:t>La Ordenación Forestal Integral y Sostenible</w:t>
      </w:r>
    </w:p>
    <w:p w:rsidR="00E43F91" w:rsidRDefault="00782C70" w:rsidP="004062F3">
      <w:r>
        <w:rPr>
          <w:lang w:val="es-CO"/>
        </w:rPr>
        <w:t>L</w:t>
      </w:r>
      <w:r w:rsidR="00E43F91">
        <w:rPr>
          <w:lang w:val="es-CO"/>
        </w:rPr>
        <w:t xml:space="preserve">a </w:t>
      </w:r>
      <w:r w:rsidR="00E43F91" w:rsidRPr="00795414">
        <w:rPr>
          <w:i/>
          <w:lang w:val="es-CO"/>
        </w:rPr>
        <w:t>Ordenación Forestal Original</w:t>
      </w:r>
      <w:r w:rsidR="007B1CC8">
        <w:rPr>
          <w:i/>
          <w:lang w:val="es-CO"/>
        </w:rPr>
        <w:t xml:space="preserve"> </w:t>
      </w:r>
      <w:r w:rsidR="00E43F91">
        <w:rPr>
          <w:lang w:val="es-CO"/>
        </w:rPr>
        <w:t>nació en Europa Central al parecer hacia finales del siglo XVIII y se desarrolló hasta finales del siglo XIX,</w:t>
      </w:r>
      <w:r>
        <w:rPr>
          <w:lang w:val="es-CO"/>
        </w:rPr>
        <w:t xml:space="preserve"> siendo</w:t>
      </w:r>
      <w:r w:rsidR="00E43F91">
        <w:rPr>
          <w:lang w:val="es-CO"/>
        </w:rPr>
        <w:t xml:space="preserve"> implementada extensamente en los bosques naturales de dicha región</w:t>
      </w:r>
      <w:r>
        <w:rPr>
          <w:lang w:val="es-CO"/>
        </w:rPr>
        <w:t>. L</w:t>
      </w:r>
      <w:r w:rsidR="00E43F91">
        <w:rPr>
          <w:lang w:val="es-CO"/>
        </w:rPr>
        <w:t xml:space="preserve">uego apareció la </w:t>
      </w:r>
      <w:r w:rsidR="00E43F91" w:rsidRPr="00795414">
        <w:rPr>
          <w:i/>
          <w:lang w:val="es-CO"/>
        </w:rPr>
        <w:t>Ordenación Forestal Clásica</w:t>
      </w:r>
      <w:r w:rsidR="00E43F91">
        <w:rPr>
          <w:lang w:val="es-CO"/>
        </w:rPr>
        <w:t>, que se aplicó desde finales del siglo XIX hasta la década de los años 70 en el siglo XX</w:t>
      </w:r>
      <w:r>
        <w:rPr>
          <w:lang w:val="es-CO"/>
        </w:rPr>
        <w:t>. P</w:t>
      </w:r>
      <w:r w:rsidR="00E43F91">
        <w:rPr>
          <w:lang w:val="es-CO"/>
        </w:rPr>
        <w:t xml:space="preserve">osteriormente, a partir </w:t>
      </w:r>
      <w:r w:rsidR="00E43F91" w:rsidRPr="00795414">
        <w:rPr>
          <w:lang w:val="es-CO"/>
        </w:rPr>
        <w:t>de</w:t>
      </w:r>
      <w:r w:rsidR="00E43F91">
        <w:rPr>
          <w:lang w:val="es-CO"/>
        </w:rPr>
        <w:t xml:space="preserve">l </w:t>
      </w:r>
      <w:r w:rsidR="00E43F91" w:rsidRPr="00795414">
        <w:t xml:space="preserve">concepto de Desarrollo Sostenible aprobado por la Comisión Brundtland, </w:t>
      </w:r>
      <w:r w:rsidR="00E43F91">
        <w:t xml:space="preserve">surgió el concepto de la </w:t>
      </w:r>
      <w:r w:rsidR="00E43F91" w:rsidRPr="00782C70">
        <w:rPr>
          <w:i/>
        </w:rPr>
        <w:t>Ordenación Forestal Sostenible</w:t>
      </w:r>
      <w:r w:rsidR="00E43F91">
        <w:t xml:space="preserve">, que se empezó a trabajar activamente por las entidades desde finales del Siglo XX hasta la primera década del siglo XXI. </w:t>
      </w:r>
    </w:p>
    <w:p w:rsidR="00E43F91" w:rsidRPr="00A51C00" w:rsidRDefault="00E43F91" w:rsidP="004062F3">
      <w:pPr>
        <w:rPr>
          <w:lang w:val="es-CO"/>
        </w:rPr>
      </w:pPr>
      <w:r w:rsidRPr="00A51C00">
        <w:t>L</w:t>
      </w:r>
      <w:r w:rsidRPr="00A51C00">
        <w:rPr>
          <w:lang w:val="es-CO"/>
        </w:rPr>
        <w:t>a Ordenación Forestal “C</w:t>
      </w:r>
      <w:r>
        <w:rPr>
          <w:lang w:val="es-CO"/>
        </w:rPr>
        <w:t>lásica o Convencional”, consistió</w:t>
      </w:r>
      <w:r w:rsidRPr="00A51C00">
        <w:rPr>
          <w:lang w:val="es-CO"/>
        </w:rPr>
        <w:t xml:space="preserve"> básicamente en una ORDENACIÓN DE LOS BOSQUES, con énfasis en objetivos de la PRODUCCIÓN MADERERA, la cual tuvo sus orígenes en las escuelas forestales inglesa y francesa desarrolladas en </w:t>
      </w:r>
      <w:r w:rsidR="00782C70">
        <w:rPr>
          <w:lang w:val="es-CO"/>
        </w:rPr>
        <w:t xml:space="preserve">Europa y </w:t>
      </w:r>
      <w:r w:rsidRPr="00A51C00">
        <w:rPr>
          <w:lang w:val="es-CO"/>
        </w:rPr>
        <w:t xml:space="preserve">el Sudeste Asiático y Africa Tropical y que fueron extrapoladas a otros países del mundo, como el caso de América Tropical y Subtropical, lo cual ocurrió especialmente desde finales del siglo XIX y hasta finales del siglo XX. Incluso, dichas escuelas para sus propósitos se nutrieron de elementos de la ordenación forestal </w:t>
      </w:r>
      <w:r w:rsidR="008D3C65">
        <w:rPr>
          <w:lang w:val="es-CO"/>
        </w:rPr>
        <w:t>original.</w:t>
      </w:r>
    </w:p>
    <w:p w:rsidR="00D267FC" w:rsidRDefault="00E43F91" w:rsidP="004062F3">
      <w:r>
        <w:t>En cuanto a la Ordenación Forestal Sostenible, antecesora de la ordenación forestal integral y sostenible,</w:t>
      </w:r>
      <w:r w:rsidR="007B1CC8">
        <w:t xml:space="preserve"> </w:t>
      </w:r>
      <w:r w:rsidR="000547CB">
        <w:t xml:space="preserve">se destaca que </w:t>
      </w:r>
      <w:r>
        <w:t>también mantiene como uno de sus enfoques</w:t>
      </w:r>
      <w:r w:rsidR="00D267FC">
        <w:t xml:space="preserve"> </w:t>
      </w:r>
      <w:r w:rsidR="005A5BB4">
        <w:t>e</w:t>
      </w:r>
      <w:r w:rsidR="00D267FC">
        <w:t xml:space="preserve">senciales </w:t>
      </w:r>
      <w:r>
        <w:t>la ordenación de bo</w:t>
      </w:r>
      <w:r w:rsidR="00D267FC">
        <w:t xml:space="preserve">sques con fines </w:t>
      </w:r>
      <w:r>
        <w:t>de producción forestal;</w:t>
      </w:r>
      <w:r w:rsidR="007B1CC8">
        <w:t xml:space="preserve"> </w:t>
      </w:r>
      <w:r w:rsidR="000547CB">
        <w:t>por lo cual ha sido implementada principalmente en</w:t>
      </w:r>
      <w:r>
        <w:t xml:space="preserve"> los países que son grandes productores </w:t>
      </w:r>
      <w:r w:rsidR="000547CB">
        <w:t xml:space="preserve">de bienes </w:t>
      </w:r>
      <w:r>
        <w:t>forestales pa</w:t>
      </w:r>
      <w:r w:rsidR="000547CB">
        <w:t>ra los mercados internacionales.</w:t>
      </w:r>
      <w:r>
        <w:t xml:space="preserve"> </w:t>
      </w:r>
      <w:r w:rsidR="000547CB">
        <w:t>L</w:t>
      </w:r>
      <w:r>
        <w:t>a Organización Internacional de Maderas Tropicales (OIMT) la define como: “</w:t>
      </w:r>
      <w:r w:rsidRPr="006C2F40">
        <w:rPr>
          <w:i/>
        </w:rPr>
        <w:t>El proceso de manejar los bosques para lograr uno o más objetivos de ordenación claramente definidos con respecto a la producción de un flujo continuo de productos y servicios forestales deseados, sin reducir indebidamente sus valores inherentes ni su productividad futura y sin causar ningún efecto indeseable en el entorno físico y social</w:t>
      </w:r>
      <w:r>
        <w:t>”</w:t>
      </w:r>
      <w:r>
        <w:rPr>
          <w:rStyle w:val="Refdenotaalpie"/>
          <w:szCs w:val="22"/>
        </w:rPr>
        <w:footnoteReference w:id="1"/>
      </w:r>
      <w:r>
        <w:t xml:space="preserve"> Es así como en la ordenación forestal sostenible se ha tratado de </w:t>
      </w:r>
      <w:r w:rsidR="00D267FC">
        <w:t>diversificar</w:t>
      </w:r>
      <w:r>
        <w:t xml:space="preserve"> el énfasis de la producción forestal al introducir</w:t>
      </w:r>
      <w:r w:rsidR="00D267FC">
        <w:t xml:space="preserve"> </w:t>
      </w:r>
      <w:r>
        <w:t>las dimensiones de fauna, biodiversidad y socioeconomía, tal y como lo muestran los avances y cambios de los Criterios e Indicadores para la Ordenación Forestal construidos y promovidos por la OIMT</w:t>
      </w:r>
      <w:r w:rsidR="007B1CC8">
        <w:t xml:space="preserve"> </w:t>
      </w:r>
      <w:r>
        <w:t>durante las últimas dos décadas.</w:t>
      </w:r>
      <w:r w:rsidR="00D267FC">
        <w:t xml:space="preserve"> Sin embargo, los resultados </w:t>
      </w:r>
      <w:r w:rsidR="00D267FC">
        <w:lastRenderedPageBreak/>
        <w:t xml:space="preserve">obtenidos </w:t>
      </w:r>
      <w:r w:rsidR="0008185D">
        <w:t>en tal sentido</w:t>
      </w:r>
      <w:r w:rsidR="00D267FC">
        <w:t xml:space="preserve"> a través de su implementación práctica</w:t>
      </w:r>
      <w:r w:rsidR="0008185D">
        <w:t xml:space="preserve"> han sido relativamente </w:t>
      </w:r>
      <w:r w:rsidR="00D267FC">
        <w:t xml:space="preserve">poco </w:t>
      </w:r>
      <w:r w:rsidR="00E82E4D">
        <w:t>notables</w:t>
      </w:r>
      <w:r w:rsidR="000547CB">
        <w:t>, pues se sigue privilegiando la producción maderera</w:t>
      </w:r>
      <w:r w:rsidR="00D267FC">
        <w:t>.</w:t>
      </w:r>
    </w:p>
    <w:p w:rsidR="002C11F9" w:rsidRDefault="002C11F9" w:rsidP="004062F3">
      <w:r>
        <w:t>Como conclusión general puede decirse que las “escuelas” de la ordenación forestal antes descritas han mantenido el enfoque de ordenación forestal dirigida a los bosques y con enfoque de producción, especialmente maderera, a pesar de los esfuerzos por diversificarla en otros sentidos.</w:t>
      </w:r>
    </w:p>
    <w:p w:rsidR="002C11F9" w:rsidRDefault="002C11F9" w:rsidP="004062F3">
      <w:pPr>
        <w:rPr>
          <w:rFonts w:cs="Arial"/>
          <w:color w:val="000000"/>
          <w:shd w:val="clear" w:color="auto" w:fill="FFFFFF"/>
        </w:rPr>
      </w:pPr>
      <w:r>
        <w:t>En el contexto mundial, l</w:t>
      </w:r>
      <w:r w:rsidRPr="00AF45A7">
        <w:t>a evolución d</w:t>
      </w:r>
      <w:r w:rsidRPr="00AF45A7">
        <w:rPr>
          <w:lang w:val="es-CO"/>
        </w:rPr>
        <w:t xml:space="preserve">el concepto y el desarrollo de la ordenación forestal hacia modelos de más amplio espectro y beneficio para la sociedad </w:t>
      </w:r>
      <w:r>
        <w:rPr>
          <w:lang w:val="es-CO"/>
        </w:rPr>
        <w:t>l</w:t>
      </w:r>
      <w:r w:rsidRPr="00AF45A7">
        <w:rPr>
          <w:lang w:val="es-CO"/>
        </w:rPr>
        <w:t xml:space="preserve">o ilustra el planteamiento de Pandey, Gopa, 2003, que en su documento </w:t>
      </w:r>
      <w:r w:rsidRPr="00AF45A7">
        <w:rPr>
          <w:i/>
          <w:lang w:val="es-CO"/>
        </w:rPr>
        <w:t>La Ordenación Forestal y la Evolución de sus Paradigmas</w:t>
      </w:r>
      <w:r w:rsidRPr="00AF45A7">
        <w:rPr>
          <w:rStyle w:val="Refdenotaalpie"/>
          <w:i/>
          <w:szCs w:val="22"/>
          <w:lang w:val="es-CO"/>
        </w:rPr>
        <w:footnoteReference w:id="2"/>
      </w:r>
      <w:r w:rsidRPr="00AF45A7">
        <w:rPr>
          <w:i/>
          <w:lang w:val="es-CO"/>
        </w:rPr>
        <w:t xml:space="preserve"> </w:t>
      </w:r>
      <w:r w:rsidRPr="00AF45A7">
        <w:rPr>
          <w:lang w:val="es-CO"/>
        </w:rPr>
        <w:t>refiere que</w:t>
      </w:r>
      <w:r w:rsidRPr="00AF45A7">
        <w:rPr>
          <w:i/>
          <w:lang w:val="es-CO"/>
        </w:rPr>
        <w:t xml:space="preserve"> </w:t>
      </w:r>
      <w:r w:rsidRPr="00AF45A7">
        <w:rPr>
          <w:lang w:val="es-CO"/>
        </w:rPr>
        <w:t>“En los últimos veinte años, el debate mundial en torno a los instrumentos necesarios para la ordenación forestal sostenible ha suscitado preocupación por la evolución de los modelos de desarrollo sostenible, y el fomento de la participación de las poblaciones se ha convertido en un lema constante de la sostenibilidad”.</w:t>
      </w:r>
      <w:r w:rsidR="007B1CC8">
        <w:rPr>
          <w:lang w:val="es-CO"/>
        </w:rPr>
        <w:t xml:space="preserve"> </w:t>
      </w:r>
      <w:r w:rsidRPr="00AF45A7">
        <w:rPr>
          <w:lang w:val="es-CO"/>
        </w:rPr>
        <w:t>Y, del mismo modo resalta que “</w:t>
      </w:r>
      <w:r>
        <w:rPr>
          <w:lang w:val="es-CO"/>
        </w:rPr>
        <w:t>[</w:t>
      </w:r>
      <w:r w:rsidRPr="00AF45A7">
        <w:rPr>
          <w:lang w:val="es-CO"/>
        </w:rPr>
        <w:t>…</w:t>
      </w:r>
      <w:r>
        <w:rPr>
          <w:lang w:val="es-CO"/>
        </w:rPr>
        <w:t xml:space="preserve">] </w:t>
      </w:r>
      <w:r w:rsidRPr="00AF45A7">
        <w:rPr>
          <w:lang w:val="es-CO"/>
        </w:rPr>
        <w:t>e</w:t>
      </w:r>
      <w:r w:rsidRPr="00AF45A7">
        <w:rPr>
          <w:rFonts w:cs="Arial"/>
          <w:color w:val="000000"/>
          <w:shd w:val="clear" w:color="auto" w:fill="FFFFFF"/>
        </w:rPr>
        <w:t>n los últimos dos decenios, las crecientes preocupaciones relacionadas con la ordenación forestal han empujado a las diferentes naciones a entablar un diálogo centrado en el desarrollo de iniciativas que fomentaran la adopción de prácticas sostenibles</w:t>
      </w:r>
      <w:r>
        <w:rPr>
          <w:rFonts w:cs="Arial"/>
          <w:color w:val="000000"/>
          <w:shd w:val="clear" w:color="auto" w:fill="FFFFFF"/>
        </w:rPr>
        <w:t>”</w:t>
      </w:r>
      <w:r w:rsidRPr="00AF45A7">
        <w:rPr>
          <w:rFonts w:cs="Arial"/>
          <w:color w:val="000000"/>
          <w:shd w:val="clear" w:color="auto" w:fill="FFFFFF"/>
        </w:rPr>
        <w:t xml:space="preserve">. La vinculación entre la ordenación y el desarrollo sostenible evolucionó durante la Cumbre para la Tierra celebrada en 1992 en Río (la Conferencia de las Naciones Unidas sobre el Medio Ambiente y el Desarrollo (CNUMAD)) y se reiteró en la Cumbre Mundial sobre el Desarrollo Sostenible celebrada en Johannesburgo en 2002. </w:t>
      </w:r>
    </w:p>
    <w:p w:rsidR="002C11F9" w:rsidRDefault="002C11F9" w:rsidP="004062F3">
      <w:pPr>
        <w:rPr>
          <w:rFonts w:cs="Arial"/>
          <w:color w:val="000000"/>
          <w:shd w:val="clear" w:color="auto" w:fill="FFFFFF"/>
        </w:rPr>
      </w:pPr>
      <w:r>
        <w:rPr>
          <w:rFonts w:cs="Arial"/>
          <w:color w:val="000000"/>
          <w:shd w:val="clear" w:color="auto" w:fill="FFFFFF"/>
        </w:rPr>
        <w:t>Entonces, en este contexto s</w:t>
      </w:r>
      <w:r w:rsidRPr="00AF45A7">
        <w:rPr>
          <w:rFonts w:cs="Arial"/>
          <w:color w:val="000000"/>
          <w:shd w:val="clear" w:color="auto" w:fill="FFFFFF"/>
        </w:rPr>
        <w:t xml:space="preserve">e planteó la necesidad de identificar los instrumentos del cambio que facilitaran el desarrollo sostenible a nivel internacional, nacional y local. Los acuerdos entre múltiples interesados que se derivaron de la CNUMAD, como la Declaración del Milenio de las Naciones Unidas, el Grupo Intergubernamental sobre los Bosques (GIB), el Foro Intergubernamental sobre los Bosques (FIB), la política y la estrategia forestales revisadas del Banco Mundial y el Foro de las Naciones Unidas sobre los Bosques (FNUB), </w:t>
      </w:r>
      <w:r w:rsidRPr="0054257A">
        <w:rPr>
          <w:rFonts w:cs="Arial"/>
          <w:color w:val="000000"/>
          <w:shd w:val="clear" w:color="auto" w:fill="FFFFFF"/>
        </w:rPr>
        <w:t>son muestra del</w:t>
      </w:r>
      <w:r w:rsidR="004062F3">
        <w:rPr>
          <w:rFonts w:cs="Arial"/>
          <w:color w:val="000000"/>
          <w:shd w:val="clear" w:color="auto" w:fill="FFFFFF"/>
        </w:rPr>
        <w:t xml:space="preserve"> consenso alcanzado.</w:t>
      </w:r>
    </w:p>
    <w:p w:rsidR="000547CB" w:rsidRDefault="002C11F9" w:rsidP="004062F3">
      <w:r>
        <w:t>Con base en los anteriores desarr</w:t>
      </w:r>
      <w:r w:rsidR="007C5CE1">
        <w:t>o</w:t>
      </w:r>
      <w:r>
        <w:t>llos, en la última década</w:t>
      </w:r>
      <w:r w:rsidR="007C5CE1">
        <w:t xml:space="preserve"> se origina</w:t>
      </w:r>
      <w:r>
        <w:t xml:space="preserve"> l</w:t>
      </w:r>
      <w:r w:rsidR="000547CB">
        <w:t>a Ordenación Forestal Integral y Sostenible</w:t>
      </w:r>
      <w:r w:rsidR="007C5CE1">
        <w:t xml:space="preserve">, que </w:t>
      </w:r>
      <w:r w:rsidR="000547CB">
        <w:t>da un salto cualitativo y cuantitativo en cuanto que ordena las tierras de vocación forestal (no el bosque),así estas posean o no cobertura forestal</w:t>
      </w:r>
      <w:r>
        <w:t>. De la misma manera, con esta ordenación forestal se privilegia la visión ecosistémica y sociosistémica de los recursos forestales, al igual que prioriza la generación efectiva de bienes y servicios ambientales; del mismo modo que procura balancear los principios de la forestería comunitaria y los de la forestería de tipo empresarial.</w:t>
      </w:r>
    </w:p>
    <w:p w:rsidR="00E43F91" w:rsidRDefault="003E1848" w:rsidP="004062F3">
      <w:pPr>
        <w:rPr>
          <w:lang w:val="es-CO"/>
        </w:rPr>
      </w:pPr>
      <w:r>
        <w:rPr>
          <w:lang w:val="es-CO"/>
        </w:rPr>
        <w:t>En la Tabla 1</w:t>
      </w:r>
      <w:r w:rsidR="00E43F91">
        <w:rPr>
          <w:lang w:val="es-CO"/>
        </w:rPr>
        <w:t>, se muestra una comparación resumida de los elementos diferenciales entre la ordenación forestal convencional o “clásica” y la ordenación forestal integral y sostenible</w:t>
      </w:r>
      <w:r w:rsidR="0008185D">
        <w:rPr>
          <w:lang w:val="es-CO"/>
        </w:rPr>
        <w:t xml:space="preserve"> construida para Colombia</w:t>
      </w:r>
      <w:r w:rsidR="004062F3">
        <w:rPr>
          <w:lang w:val="es-CO"/>
        </w:rPr>
        <w:t>.</w:t>
      </w:r>
    </w:p>
    <w:p w:rsidR="00E43F91" w:rsidRDefault="004062F3" w:rsidP="004062F3">
      <w:pPr>
        <w:pStyle w:val="Epgrafe"/>
        <w:rPr>
          <w:sz w:val="22"/>
          <w:szCs w:val="22"/>
        </w:rPr>
      </w:pPr>
      <w:bookmarkStart w:id="3" w:name="_Toc23137180"/>
      <w:r>
        <w:t xml:space="preserve">Tabla </w:t>
      </w:r>
      <w:r>
        <w:fldChar w:fldCharType="begin"/>
      </w:r>
      <w:r>
        <w:instrText xml:space="preserve"> SEQ Tabla \* ARABIC </w:instrText>
      </w:r>
      <w:r>
        <w:fldChar w:fldCharType="separate"/>
      </w:r>
      <w:r w:rsidR="00B2203B">
        <w:rPr>
          <w:noProof/>
        </w:rPr>
        <w:t>1</w:t>
      </w:r>
      <w:r>
        <w:fldChar w:fldCharType="end"/>
      </w:r>
      <w:r>
        <w:t xml:space="preserve">. </w:t>
      </w:r>
      <w:r w:rsidR="00E43F91">
        <w:t xml:space="preserve">Elementos </w:t>
      </w:r>
      <w:r w:rsidR="007E5200">
        <w:t>d</w:t>
      </w:r>
      <w:r w:rsidR="00E43F91">
        <w:t xml:space="preserve">iferenciales </w:t>
      </w:r>
      <w:r w:rsidR="007E5200">
        <w:t>e</w:t>
      </w:r>
      <w:r w:rsidR="00E43F91">
        <w:t xml:space="preserve">xistentes entre la Ordenación Forestal </w:t>
      </w:r>
      <w:r w:rsidR="007E5200">
        <w:t>c</w:t>
      </w:r>
      <w:r w:rsidR="00E43F91">
        <w:t xml:space="preserve">lásica y la Ordenación Forestal </w:t>
      </w:r>
      <w:r w:rsidR="007E5200">
        <w:t>i</w:t>
      </w:r>
      <w:r w:rsidR="00E43F91">
        <w:t xml:space="preserve">ntegral y </w:t>
      </w:r>
      <w:r w:rsidR="007E5200">
        <w:t>s</w:t>
      </w:r>
      <w:r w:rsidR="00E43F91">
        <w:t>ostenible</w:t>
      </w:r>
      <w:bookmarkEnd w:id="3"/>
    </w:p>
    <w:tbl>
      <w:tblPr>
        <w:tblStyle w:val="Tablaconcuadrcula3"/>
        <w:tblW w:w="5000" w:type="pct"/>
        <w:tblLook w:val="0000" w:firstRow="0" w:lastRow="0" w:firstColumn="0" w:lastColumn="0" w:noHBand="0" w:noVBand="0"/>
      </w:tblPr>
      <w:tblGrid>
        <w:gridCol w:w="4292"/>
        <w:gridCol w:w="5046"/>
      </w:tblGrid>
      <w:tr w:rsidR="00E43F91" w:rsidRPr="004062F3" w:rsidTr="004062F3">
        <w:trPr>
          <w:trHeight w:val="193"/>
          <w:tblHeader/>
        </w:trPr>
        <w:tc>
          <w:tcPr>
            <w:tcW w:w="2298" w:type="pct"/>
            <w:shd w:val="clear" w:color="auto" w:fill="C2D69B" w:themeFill="accent3" w:themeFillTint="99"/>
            <w:vAlign w:val="center"/>
          </w:tcPr>
          <w:p w:rsidR="00E43F91" w:rsidRPr="004062F3" w:rsidRDefault="004062F3" w:rsidP="004062F3">
            <w:pPr>
              <w:jc w:val="center"/>
              <w:rPr>
                <w:rFonts w:cs="Tahoma"/>
                <w:sz w:val="20"/>
                <w:szCs w:val="20"/>
              </w:rPr>
            </w:pPr>
            <w:r w:rsidRPr="004062F3">
              <w:rPr>
                <w:rFonts w:cs="Tahoma"/>
                <w:b/>
                <w:bCs/>
                <w:sz w:val="20"/>
                <w:szCs w:val="20"/>
              </w:rPr>
              <w:t>Ordenación forestal convencional</w:t>
            </w:r>
          </w:p>
        </w:tc>
        <w:tc>
          <w:tcPr>
            <w:tcW w:w="2702" w:type="pct"/>
            <w:shd w:val="clear" w:color="auto" w:fill="C2D69B" w:themeFill="accent3" w:themeFillTint="99"/>
            <w:vAlign w:val="center"/>
          </w:tcPr>
          <w:p w:rsidR="00E43F91" w:rsidRPr="004062F3" w:rsidRDefault="004062F3" w:rsidP="004062F3">
            <w:pPr>
              <w:jc w:val="center"/>
              <w:rPr>
                <w:rFonts w:cs="Tahoma"/>
                <w:sz w:val="20"/>
                <w:szCs w:val="20"/>
              </w:rPr>
            </w:pPr>
            <w:r w:rsidRPr="004062F3">
              <w:rPr>
                <w:rFonts w:cs="Tahoma"/>
                <w:b/>
                <w:bCs/>
                <w:sz w:val="20"/>
                <w:szCs w:val="20"/>
              </w:rPr>
              <w:t>Ordenación forestal integral y sostenible</w:t>
            </w:r>
          </w:p>
        </w:tc>
      </w:tr>
      <w:tr w:rsidR="00E43F91" w:rsidRPr="004062F3" w:rsidTr="004062F3">
        <w:trPr>
          <w:trHeight w:val="1299"/>
        </w:trPr>
        <w:tc>
          <w:tcPr>
            <w:tcW w:w="2298" w:type="pct"/>
          </w:tcPr>
          <w:p w:rsidR="00E43F91" w:rsidRPr="004062F3" w:rsidRDefault="00E43F91" w:rsidP="00306207">
            <w:pPr>
              <w:numPr>
                <w:ilvl w:val="0"/>
                <w:numId w:val="2"/>
              </w:numPr>
              <w:spacing w:before="120" w:after="120"/>
              <w:ind w:left="284" w:hanging="284"/>
              <w:contextualSpacing/>
              <w:rPr>
                <w:rFonts w:eastAsiaTheme="minorHAnsi" w:cs="Tahoma"/>
                <w:sz w:val="20"/>
                <w:szCs w:val="20"/>
              </w:rPr>
            </w:pPr>
            <w:r w:rsidRPr="004062F3">
              <w:rPr>
                <w:rFonts w:eastAsiaTheme="minorHAnsi" w:cs="Tahoma"/>
                <w:sz w:val="20"/>
                <w:szCs w:val="20"/>
              </w:rPr>
              <w:t>Su objeto son los bosques naturales y plantados</w:t>
            </w: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306207">
            <w:pPr>
              <w:numPr>
                <w:ilvl w:val="0"/>
                <w:numId w:val="2"/>
              </w:numPr>
              <w:spacing w:before="120" w:after="120"/>
              <w:ind w:left="284" w:hanging="284"/>
              <w:contextualSpacing/>
              <w:rPr>
                <w:rFonts w:eastAsiaTheme="minorHAnsi" w:cs="Tahoma"/>
                <w:sz w:val="20"/>
                <w:szCs w:val="20"/>
              </w:rPr>
            </w:pPr>
            <w:r w:rsidRPr="004062F3">
              <w:rPr>
                <w:rFonts w:eastAsiaTheme="minorHAnsi" w:cs="Tahoma"/>
                <w:sz w:val="20"/>
                <w:szCs w:val="20"/>
              </w:rPr>
              <w:t>El propósito es zonificar bosques para la producción maderera.</w:t>
            </w:r>
          </w:p>
          <w:p w:rsidR="00E43F91" w:rsidRPr="004062F3" w:rsidRDefault="00E43F91" w:rsidP="00FE3C81">
            <w:pPr>
              <w:spacing w:before="120" w:after="120"/>
              <w:ind w:left="284" w:hanging="284"/>
              <w:contextualSpacing/>
              <w:rPr>
                <w:rFonts w:eastAsiaTheme="minorHAnsi" w:cs="Tahoma"/>
                <w:sz w:val="20"/>
                <w:szCs w:val="20"/>
              </w:rPr>
            </w:pPr>
          </w:p>
          <w:p w:rsidR="00E43F91" w:rsidRPr="004062F3" w:rsidRDefault="00E43F91" w:rsidP="00FE3C81">
            <w:pPr>
              <w:spacing w:before="120" w:after="120"/>
              <w:ind w:left="284" w:hanging="284"/>
              <w:contextualSpacing/>
              <w:rPr>
                <w:rFonts w:eastAsiaTheme="minorHAnsi" w:cs="Tahoma"/>
                <w:sz w:val="20"/>
                <w:szCs w:val="20"/>
              </w:rPr>
            </w:pPr>
          </w:p>
          <w:p w:rsidR="00E43F91" w:rsidRPr="004062F3" w:rsidRDefault="00E43F91" w:rsidP="00FE3C81">
            <w:pPr>
              <w:spacing w:before="120" w:after="120"/>
              <w:ind w:left="284" w:hanging="284"/>
              <w:contextualSpacing/>
              <w:rPr>
                <w:rFonts w:eastAsiaTheme="minorHAnsi" w:cs="Tahoma"/>
                <w:sz w:val="20"/>
                <w:szCs w:val="20"/>
              </w:rPr>
            </w:pPr>
          </w:p>
          <w:p w:rsidR="00E43F91" w:rsidRPr="004062F3" w:rsidRDefault="00E43F91" w:rsidP="00FE3C81">
            <w:pPr>
              <w:spacing w:before="120" w:after="120"/>
              <w:ind w:left="284" w:hanging="284"/>
              <w:contextualSpacing/>
              <w:rPr>
                <w:rFonts w:eastAsiaTheme="minorHAnsi" w:cs="Tahoma"/>
                <w:sz w:val="20"/>
                <w:szCs w:val="20"/>
              </w:rPr>
            </w:pPr>
          </w:p>
          <w:p w:rsidR="00E43F91" w:rsidRPr="004062F3" w:rsidRDefault="00E43F91" w:rsidP="00306207">
            <w:pPr>
              <w:numPr>
                <w:ilvl w:val="0"/>
                <w:numId w:val="2"/>
              </w:numPr>
              <w:spacing w:before="120" w:after="120"/>
              <w:ind w:left="284" w:hanging="284"/>
              <w:contextualSpacing/>
              <w:rPr>
                <w:rFonts w:eastAsiaTheme="minorHAnsi" w:cs="Tahoma"/>
                <w:sz w:val="20"/>
                <w:szCs w:val="20"/>
              </w:rPr>
            </w:pPr>
            <w:r w:rsidRPr="004062F3">
              <w:rPr>
                <w:rFonts w:eastAsiaTheme="minorHAnsi" w:cs="Tahoma"/>
                <w:sz w:val="20"/>
                <w:szCs w:val="20"/>
              </w:rPr>
              <w:t>Su enfoque es reduccionista, focalizando los esfuerzos principalmente al componente arbóreo.</w:t>
            </w: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306207">
            <w:pPr>
              <w:numPr>
                <w:ilvl w:val="0"/>
                <w:numId w:val="2"/>
              </w:numPr>
              <w:spacing w:before="120" w:after="120"/>
              <w:ind w:left="284" w:hanging="284"/>
              <w:contextualSpacing/>
              <w:rPr>
                <w:rFonts w:eastAsiaTheme="minorHAnsi" w:cs="Tahoma"/>
                <w:sz w:val="20"/>
                <w:szCs w:val="20"/>
              </w:rPr>
            </w:pPr>
            <w:r w:rsidRPr="004062F3">
              <w:rPr>
                <w:rFonts w:eastAsiaTheme="minorHAnsi" w:cs="Tahoma"/>
                <w:sz w:val="20"/>
                <w:szCs w:val="20"/>
              </w:rPr>
              <w:lastRenderedPageBreak/>
              <w:t>En Colombia se ha formulado en escalas entre 1:50.000 y 1:100.000, es decir general o exploratoria; esto dificulta la toma de decisiones en forma apropiada.</w:t>
            </w: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306207">
            <w:pPr>
              <w:numPr>
                <w:ilvl w:val="0"/>
                <w:numId w:val="2"/>
              </w:numPr>
              <w:spacing w:before="120" w:after="120"/>
              <w:ind w:left="284" w:hanging="284"/>
              <w:contextualSpacing/>
              <w:rPr>
                <w:rFonts w:eastAsiaTheme="minorHAnsi" w:cs="Tahoma"/>
                <w:sz w:val="20"/>
                <w:szCs w:val="20"/>
              </w:rPr>
            </w:pPr>
            <w:r w:rsidRPr="004062F3">
              <w:rPr>
                <w:rFonts w:eastAsiaTheme="minorHAnsi" w:cs="Tahoma"/>
                <w:sz w:val="20"/>
                <w:szCs w:val="20"/>
              </w:rPr>
              <w:t>Tiene como finalidad principal planificar las áreas de bosques bajo el principio del rendimiento sostenido</w:t>
            </w:r>
          </w:p>
          <w:p w:rsidR="00E43F91" w:rsidRPr="004062F3" w:rsidRDefault="00E43F91" w:rsidP="00FE3C81">
            <w:pPr>
              <w:ind w:left="284" w:hanging="284"/>
              <w:rPr>
                <w:rFonts w:cs="Tahoma"/>
                <w:sz w:val="20"/>
                <w:szCs w:val="20"/>
              </w:rPr>
            </w:pPr>
          </w:p>
          <w:p w:rsidR="00E43F91" w:rsidRPr="004062F3" w:rsidRDefault="00E43F91" w:rsidP="00FE3C81">
            <w:pPr>
              <w:ind w:left="284" w:hanging="284"/>
              <w:rPr>
                <w:rFonts w:cs="Tahoma"/>
                <w:sz w:val="20"/>
                <w:szCs w:val="20"/>
              </w:rPr>
            </w:pPr>
          </w:p>
          <w:p w:rsidR="00E43F91" w:rsidRPr="004062F3" w:rsidRDefault="00E43F91" w:rsidP="00FE3C81">
            <w:pPr>
              <w:ind w:left="284" w:hanging="284"/>
              <w:rPr>
                <w:rFonts w:cs="Tahoma"/>
                <w:sz w:val="20"/>
                <w:szCs w:val="20"/>
              </w:rPr>
            </w:pPr>
          </w:p>
          <w:p w:rsidR="00E43F91" w:rsidRPr="004062F3" w:rsidRDefault="00E43F91" w:rsidP="00FE3C81">
            <w:pPr>
              <w:ind w:left="284" w:hanging="284"/>
              <w:contextualSpacing/>
              <w:rPr>
                <w:rFonts w:eastAsiaTheme="minorHAnsi" w:cs="Tahoma"/>
                <w:sz w:val="20"/>
                <w:szCs w:val="20"/>
              </w:rPr>
            </w:pPr>
          </w:p>
          <w:p w:rsidR="00E43F91" w:rsidRPr="004062F3" w:rsidRDefault="00E43F91" w:rsidP="00306207">
            <w:pPr>
              <w:numPr>
                <w:ilvl w:val="0"/>
                <w:numId w:val="2"/>
              </w:numPr>
              <w:spacing w:before="120" w:after="120"/>
              <w:ind w:left="284" w:hanging="284"/>
              <w:contextualSpacing/>
              <w:rPr>
                <w:rFonts w:eastAsiaTheme="minorHAnsi" w:cstheme="minorBidi"/>
                <w:sz w:val="20"/>
                <w:szCs w:val="20"/>
              </w:rPr>
            </w:pPr>
            <w:r w:rsidRPr="004062F3">
              <w:rPr>
                <w:rFonts w:eastAsiaTheme="minorHAnsi" w:cs="Tahoma"/>
                <w:sz w:val="20"/>
                <w:szCs w:val="20"/>
              </w:rPr>
              <w:t>La zonificación final genera, en la mayoría de los casos, solamente áreas forestales productoras y áreas forestales protectoras.</w:t>
            </w:r>
          </w:p>
          <w:p w:rsidR="00E43F91" w:rsidRPr="004062F3" w:rsidRDefault="00E43F91" w:rsidP="00FE3C81">
            <w:pPr>
              <w:ind w:left="284" w:hanging="142"/>
              <w:contextualSpacing/>
              <w:rPr>
                <w:rFonts w:eastAsiaTheme="minorHAnsi" w:cstheme="minorBidi"/>
                <w:sz w:val="20"/>
                <w:szCs w:val="20"/>
              </w:rPr>
            </w:pPr>
          </w:p>
          <w:p w:rsidR="00E43F91" w:rsidRPr="004062F3" w:rsidRDefault="00E43F91" w:rsidP="00FE3C81">
            <w:pPr>
              <w:ind w:left="284" w:hanging="284"/>
              <w:contextualSpacing/>
              <w:rPr>
                <w:rFonts w:eastAsiaTheme="minorHAnsi" w:cstheme="minorBidi"/>
                <w:sz w:val="20"/>
                <w:szCs w:val="20"/>
              </w:rPr>
            </w:pPr>
          </w:p>
          <w:p w:rsidR="00E43F91" w:rsidRPr="004062F3" w:rsidRDefault="00E43F91" w:rsidP="00FE3C81">
            <w:pPr>
              <w:ind w:left="284" w:hanging="284"/>
              <w:contextualSpacing/>
              <w:rPr>
                <w:rFonts w:eastAsiaTheme="minorHAnsi" w:cstheme="minorBidi"/>
                <w:sz w:val="20"/>
                <w:szCs w:val="20"/>
              </w:rPr>
            </w:pPr>
          </w:p>
          <w:p w:rsidR="00E43F91" w:rsidRPr="004062F3" w:rsidRDefault="00E43F91" w:rsidP="00306207">
            <w:pPr>
              <w:numPr>
                <w:ilvl w:val="0"/>
                <w:numId w:val="2"/>
              </w:numPr>
              <w:spacing w:before="120" w:after="120"/>
              <w:ind w:left="284" w:hanging="284"/>
              <w:contextualSpacing/>
              <w:rPr>
                <w:rFonts w:eastAsiaTheme="minorHAnsi" w:cstheme="minorBidi"/>
                <w:sz w:val="20"/>
                <w:szCs w:val="20"/>
              </w:rPr>
            </w:pPr>
            <w:r w:rsidRPr="004062F3">
              <w:rPr>
                <w:rFonts w:eastAsiaTheme="minorHAnsi" w:cstheme="minorBidi"/>
                <w:sz w:val="20"/>
                <w:szCs w:val="20"/>
              </w:rPr>
              <w:t>Enfatiza en caracterizar Silviculturalmente el componente vegetación arbórea.</w:t>
            </w:r>
          </w:p>
          <w:p w:rsidR="00E43F91" w:rsidRPr="004062F3" w:rsidRDefault="00E43F91" w:rsidP="00FE3C81">
            <w:pPr>
              <w:rPr>
                <w:sz w:val="20"/>
                <w:szCs w:val="20"/>
              </w:rPr>
            </w:pPr>
          </w:p>
          <w:p w:rsidR="00E43F91" w:rsidRPr="004062F3" w:rsidRDefault="00E43F91" w:rsidP="00FE3C81">
            <w:pPr>
              <w:ind w:left="284" w:hanging="284"/>
              <w:rPr>
                <w:sz w:val="20"/>
                <w:szCs w:val="20"/>
              </w:rPr>
            </w:pPr>
          </w:p>
          <w:p w:rsidR="00E43F91" w:rsidRPr="004062F3" w:rsidRDefault="00E43F91" w:rsidP="00FE3C81">
            <w:pPr>
              <w:ind w:left="284" w:hanging="284"/>
              <w:rPr>
                <w:sz w:val="20"/>
                <w:szCs w:val="20"/>
              </w:rPr>
            </w:pPr>
            <w:r w:rsidRPr="004062F3">
              <w:rPr>
                <w:sz w:val="20"/>
                <w:szCs w:val="20"/>
              </w:rPr>
              <w:t>8. El componente socioeconómico es subsidiario del</w:t>
            </w:r>
            <w:r w:rsidR="007B1CC8">
              <w:rPr>
                <w:sz w:val="20"/>
                <w:szCs w:val="20"/>
              </w:rPr>
              <w:t xml:space="preserve">  </w:t>
            </w:r>
            <w:r w:rsidRPr="004062F3">
              <w:rPr>
                <w:sz w:val="20"/>
                <w:szCs w:val="20"/>
              </w:rPr>
              <w:t xml:space="preserve">componente forestal. </w:t>
            </w:r>
          </w:p>
          <w:p w:rsidR="00E43F91" w:rsidRPr="004062F3" w:rsidRDefault="00E43F91" w:rsidP="00FE3C81">
            <w:pPr>
              <w:rPr>
                <w:sz w:val="20"/>
                <w:szCs w:val="20"/>
              </w:rPr>
            </w:pPr>
          </w:p>
          <w:p w:rsidR="00E43F91" w:rsidRPr="004062F3" w:rsidRDefault="00E43F91" w:rsidP="00FE3C81">
            <w:pPr>
              <w:rPr>
                <w:sz w:val="20"/>
                <w:szCs w:val="20"/>
              </w:rPr>
            </w:pPr>
            <w:r w:rsidRPr="004062F3">
              <w:rPr>
                <w:sz w:val="20"/>
                <w:szCs w:val="20"/>
              </w:rPr>
              <w:t>9.</w:t>
            </w:r>
            <w:r w:rsidR="007B1CC8">
              <w:rPr>
                <w:sz w:val="20"/>
                <w:szCs w:val="20"/>
              </w:rPr>
              <w:t xml:space="preserve">  </w:t>
            </w:r>
            <w:r w:rsidRPr="004062F3">
              <w:rPr>
                <w:sz w:val="20"/>
                <w:szCs w:val="20"/>
              </w:rPr>
              <w:t>El componente faunístico es poco o nada considerado.</w:t>
            </w:r>
          </w:p>
          <w:p w:rsidR="00E43F91" w:rsidRPr="004062F3" w:rsidRDefault="00E43F91" w:rsidP="00FE3C81">
            <w:pPr>
              <w:spacing w:before="120" w:after="120"/>
              <w:ind w:left="284" w:hanging="284"/>
              <w:rPr>
                <w:sz w:val="20"/>
                <w:szCs w:val="20"/>
              </w:rPr>
            </w:pPr>
          </w:p>
          <w:p w:rsidR="00E43F91" w:rsidRPr="004062F3" w:rsidRDefault="00E43F91" w:rsidP="00FE3C81">
            <w:pPr>
              <w:spacing w:before="120" w:after="120"/>
              <w:ind w:left="284" w:hanging="284"/>
              <w:rPr>
                <w:sz w:val="20"/>
                <w:szCs w:val="20"/>
              </w:rPr>
            </w:pPr>
            <w:r w:rsidRPr="004062F3">
              <w:rPr>
                <w:sz w:val="20"/>
                <w:szCs w:val="20"/>
              </w:rPr>
              <w:t>10. Esencialmente ha sido en un ejercicio de planificación central.</w:t>
            </w:r>
          </w:p>
          <w:p w:rsidR="00E43F91" w:rsidRPr="004062F3" w:rsidRDefault="00E43F91" w:rsidP="00FE3C81">
            <w:pPr>
              <w:spacing w:before="120" w:after="120"/>
              <w:rPr>
                <w:sz w:val="20"/>
                <w:szCs w:val="20"/>
              </w:rPr>
            </w:pPr>
          </w:p>
          <w:p w:rsidR="00E43F91" w:rsidRPr="004062F3" w:rsidRDefault="00E43F91" w:rsidP="00FE3C81">
            <w:pPr>
              <w:spacing w:before="120" w:after="120"/>
              <w:rPr>
                <w:sz w:val="20"/>
                <w:szCs w:val="20"/>
              </w:rPr>
            </w:pPr>
            <w:r w:rsidRPr="004062F3">
              <w:rPr>
                <w:sz w:val="20"/>
                <w:szCs w:val="20"/>
              </w:rPr>
              <w:t>11.</w:t>
            </w:r>
            <w:r w:rsidR="007B1CC8">
              <w:rPr>
                <w:sz w:val="20"/>
                <w:szCs w:val="20"/>
              </w:rPr>
              <w:t xml:space="preserve"> </w:t>
            </w:r>
            <w:r w:rsidRPr="004062F3">
              <w:rPr>
                <w:sz w:val="20"/>
                <w:szCs w:val="20"/>
              </w:rPr>
              <w:t>Los equipos de trabajo son esencialmente técnicos.</w:t>
            </w:r>
          </w:p>
        </w:tc>
        <w:tc>
          <w:tcPr>
            <w:tcW w:w="2702" w:type="pct"/>
          </w:tcPr>
          <w:p w:rsidR="00E43F91" w:rsidRPr="004062F3" w:rsidRDefault="00E43F91" w:rsidP="00306207">
            <w:pPr>
              <w:numPr>
                <w:ilvl w:val="0"/>
                <w:numId w:val="3"/>
              </w:numPr>
              <w:ind w:left="249" w:hanging="249"/>
              <w:rPr>
                <w:rFonts w:cs="Tahoma"/>
                <w:sz w:val="20"/>
                <w:szCs w:val="20"/>
              </w:rPr>
            </w:pPr>
            <w:r w:rsidRPr="004062F3">
              <w:rPr>
                <w:rFonts w:cs="Tahoma"/>
                <w:sz w:val="20"/>
                <w:szCs w:val="20"/>
              </w:rPr>
              <w:lastRenderedPageBreak/>
              <w:t>Su objeto son las tierras de vocación forestal, posean o no cobertura bosocosa</w:t>
            </w:r>
          </w:p>
          <w:p w:rsidR="00E43F91" w:rsidRPr="004062F3" w:rsidRDefault="00E43F91" w:rsidP="00FE3C81">
            <w:pPr>
              <w:ind w:left="249" w:hanging="249"/>
              <w:rPr>
                <w:rFonts w:cs="Tahoma"/>
                <w:sz w:val="20"/>
                <w:szCs w:val="20"/>
              </w:rPr>
            </w:pPr>
          </w:p>
          <w:p w:rsidR="00E43F91" w:rsidRPr="004062F3" w:rsidRDefault="00E43F91" w:rsidP="00306207">
            <w:pPr>
              <w:numPr>
                <w:ilvl w:val="0"/>
                <w:numId w:val="3"/>
              </w:numPr>
              <w:ind w:left="249" w:hanging="249"/>
              <w:contextualSpacing/>
              <w:rPr>
                <w:rFonts w:eastAsiaTheme="minorHAnsi" w:cs="Tahoma"/>
                <w:sz w:val="20"/>
                <w:szCs w:val="20"/>
              </w:rPr>
            </w:pPr>
            <w:r w:rsidRPr="004062F3">
              <w:rPr>
                <w:rFonts w:eastAsiaTheme="minorHAnsi" w:cs="Tahoma"/>
                <w:sz w:val="20"/>
                <w:szCs w:val="20"/>
              </w:rPr>
              <w:t>El propósito es zonificar las tierras forestales</w:t>
            </w:r>
            <w:r w:rsidR="007B1CC8">
              <w:rPr>
                <w:rFonts w:eastAsiaTheme="minorHAnsi" w:cs="Tahoma"/>
                <w:sz w:val="20"/>
                <w:szCs w:val="20"/>
              </w:rPr>
              <w:t xml:space="preserve"> </w:t>
            </w:r>
            <w:r w:rsidRPr="004062F3">
              <w:rPr>
                <w:rFonts w:eastAsiaTheme="minorHAnsi" w:cs="Tahoma"/>
                <w:sz w:val="20"/>
                <w:szCs w:val="20"/>
              </w:rPr>
              <w:t xml:space="preserve">para promover la preservación, la conservación y el uso sostenible de sus recursos y servicios conexos, incluyendo la producción de maderables y no maderables, entre otras opciones)., dentro de un enfoque </w:t>
            </w:r>
          </w:p>
          <w:p w:rsidR="00E43F91" w:rsidRPr="004062F3" w:rsidRDefault="00E43F91" w:rsidP="00FE3C81">
            <w:pPr>
              <w:ind w:left="249" w:hanging="249"/>
              <w:contextualSpacing/>
              <w:rPr>
                <w:rFonts w:eastAsiaTheme="minorHAnsi" w:cs="Tahoma"/>
                <w:sz w:val="20"/>
                <w:szCs w:val="20"/>
              </w:rPr>
            </w:pPr>
          </w:p>
          <w:p w:rsidR="00E43F91" w:rsidRPr="004062F3" w:rsidRDefault="00E43F91" w:rsidP="00306207">
            <w:pPr>
              <w:numPr>
                <w:ilvl w:val="0"/>
                <w:numId w:val="3"/>
              </w:numPr>
              <w:ind w:left="249" w:hanging="249"/>
              <w:contextualSpacing/>
              <w:rPr>
                <w:rFonts w:eastAsiaTheme="minorHAnsi" w:cs="Tahoma"/>
                <w:sz w:val="20"/>
                <w:szCs w:val="20"/>
              </w:rPr>
            </w:pPr>
            <w:r w:rsidRPr="004062F3">
              <w:rPr>
                <w:rFonts w:eastAsiaTheme="minorHAnsi" w:cs="Tahoma"/>
                <w:sz w:val="20"/>
                <w:szCs w:val="20"/>
              </w:rPr>
              <w:t>Su enfoque es ecosistémico y sociosistémico, focalizando los esfuerzos a todos los componentes del ecosistema forestal y a los elementos de la sociedad relacionados con dicho ecosistema.</w:t>
            </w:r>
          </w:p>
          <w:p w:rsidR="00E43F91" w:rsidRPr="004062F3" w:rsidRDefault="00E43F91" w:rsidP="00FE3C81">
            <w:pPr>
              <w:ind w:left="249" w:hanging="249"/>
              <w:contextualSpacing/>
              <w:rPr>
                <w:rFonts w:eastAsiaTheme="minorHAnsi" w:cs="Tahoma"/>
                <w:sz w:val="20"/>
                <w:szCs w:val="20"/>
              </w:rPr>
            </w:pPr>
          </w:p>
          <w:p w:rsidR="00E43F91" w:rsidRPr="004062F3" w:rsidRDefault="00E43F91" w:rsidP="00306207">
            <w:pPr>
              <w:numPr>
                <w:ilvl w:val="0"/>
                <w:numId w:val="3"/>
              </w:numPr>
              <w:ind w:left="249" w:hanging="249"/>
              <w:contextualSpacing/>
              <w:rPr>
                <w:rFonts w:eastAsiaTheme="minorHAnsi" w:cs="Tahoma"/>
                <w:sz w:val="20"/>
                <w:szCs w:val="20"/>
              </w:rPr>
            </w:pPr>
            <w:r w:rsidRPr="004062F3">
              <w:rPr>
                <w:rFonts w:eastAsiaTheme="minorHAnsi" w:cs="Tahoma"/>
                <w:sz w:val="20"/>
                <w:szCs w:val="20"/>
              </w:rPr>
              <w:t>Se formula en escala 1:25.000, es decir semidetallada; permite mejor toma de decisiones, incluso de manejo forestal.</w:t>
            </w:r>
          </w:p>
          <w:p w:rsidR="00E43F91" w:rsidRPr="004062F3" w:rsidRDefault="00E43F91" w:rsidP="00FE3C81">
            <w:pPr>
              <w:ind w:left="249" w:hanging="249"/>
              <w:contextualSpacing/>
              <w:rPr>
                <w:rFonts w:eastAsiaTheme="minorHAnsi" w:cs="Tahoma"/>
                <w:sz w:val="20"/>
                <w:szCs w:val="20"/>
              </w:rPr>
            </w:pPr>
          </w:p>
          <w:p w:rsidR="00E43F91" w:rsidRPr="004062F3" w:rsidRDefault="00E43F91" w:rsidP="00FE3C81">
            <w:pPr>
              <w:ind w:left="249" w:hanging="249"/>
              <w:contextualSpacing/>
              <w:rPr>
                <w:rFonts w:eastAsiaTheme="minorHAnsi" w:cs="Tahoma"/>
                <w:sz w:val="20"/>
                <w:szCs w:val="20"/>
              </w:rPr>
            </w:pPr>
          </w:p>
          <w:p w:rsidR="00E43F91" w:rsidRPr="004062F3" w:rsidRDefault="00E43F91" w:rsidP="00306207">
            <w:pPr>
              <w:numPr>
                <w:ilvl w:val="0"/>
                <w:numId w:val="3"/>
              </w:numPr>
              <w:ind w:left="249" w:hanging="249"/>
              <w:contextualSpacing/>
              <w:rPr>
                <w:rFonts w:eastAsiaTheme="minorHAnsi" w:cs="Tahoma"/>
                <w:sz w:val="20"/>
                <w:szCs w:val="20"/>
              </w:rPr>
            </w:pPr>
            <w:r w:rsidRPr="004062F3">
              <w:rPr>
                <w:rFonts w:eastAsiaTheme="minorHAnsi" w:cs="Tahoma"/>
                <w:sz w:val="20"/>
                <w:szCs w:val="20"/>
              </w:rPr>
              <w:t>Tiene, entre otras finalidades, alcanzar la focalización, definición y priorización de las áreas forestales para restauración y rehabilitación, manejo de bosques naturales, reforestación protectora, reforestación comercial, aprovechamiento de productos forestales maderables, aprovechamiento de productos forestales no maderables, protección hídrica, proyectos de captura de CO2, entre otras opciones</w:t>
            </w:r>
          </w:p>
          <w:p w:rsidR="00E43F91" w:rsidRPr="004062F3" w:rsidRDefault="00E43F91" w:rsidP="00FE3C81">
            <w:pPr>
              <w:ind w:left="249" w:hanging="249"/>
              <w:rPr>
                <w:rFonts w:cs="Tahoma"/>
                <w:sz w:val="20"/>
                <w:szCs w:val="20"/>
              </w:rPr>
            </w:pPr>
          </w:p>
          <w:p w:rsidR="00E43F91" w:rsidRPr="004062F3" w:rsidRDefault="00E43F91" w:rsidP="00306207">
            <w:pPr>
              <w:numPr>
                <w:ilvl w:val="0"/>
                <w:numId w:val="3"/>
              </w:numPr>
              <w:ind w:left="249" w:hanging="249"/>
              <w:rPr>
                <w:rFonts w:eastAsiaTheme="minorHAnsi" w:cs="Tahoma"/>
                <w:sz w:val="20"/>
                <w:szCs w:val="20"/>
              </w:rPr>
            </w:pPr>
            <w:r w:rsidRPr="004062F3">
              <w:rPr>
                <w:rFonts w:eastAsiaTheme="minorHAnsi" w:cs="Tahoma"/>
                <w:sz w:val="20"/>
                <w:szCs w:val="20"/>
              </w:rPr>
              <w:t>La zonificación final genera, además de áreas forestales productoras y áreas forestales protectoras, áreas del Sistema Nacional de Áreas Protegidas como: Distrito de Conservación de Suelos, Distrito Regional de Manejo Integrado, Reserva Forestal Protectora Regional, Parque Natura Regional, entre otras.</w:t>
            </w:r>
          </w:p>
          <w:p w:rsidR="00E43F91" w:rsidRPr="004062F3" w:rsidRDefault="00E43F91" w:rsidP="00FE3C81">
            <w:pPr>
              <w:ind w:left="249" w:hanging="249"/>
              <w:rPr>
                <w:rFonts w:cs="Tahoma"/>
                <w:sz w:val="20"/>
                <w:szCs w:val="20"/>
              </w:rPr>
            </w:pPr>
          </w:p>
          <w:p w:rsidR="00E43F91" w:rsidRPr="004062F3" w:rsidRDefault="00E43F91" w:rsidP="00FE3C81">
            <w:pPr>
              <w:ind w:left="249" w:hanging="249"/>
              <w:rPr>
                <w:rFonts w:cs="Tahoma"/>
                <w:sz w:val="20"/>
                <w:szCs w:val="20"/>
              </w:rPr>
            </w:pPr>
            <w:r w:rsidRPr="004062F3">
              <w:rPr>
                <w:rFonts w:cs="Tahoma"/>
                <w:sz w:val="20"/>
                <w:szCs w:val="20"/>
              </w:rPr>
              <w:t>7.</w:t>
            </w:r>
            <w:r w:rsidRPr="004062F3">
              <w:rPr>
                <w:rFonts w:cs="Tahoma"/>
                <w:sz w:val="20"/>
                <w:szCs w:val="20"/>
              </w:rPr>
              <w:tab/>
              <w:t xml:space="preserve"> Enfatiza en caracterizar la ecología,</w:t>
            </w:r>
            <w:r w:rsidR="007B1CC8">
              <w:rPr>
                <w:rFonts w:cs="Tahoma"/>
                <w:sz w:val="20"/>
                <w:szCs w:val="20"/>
              </w:rPr>
              <w:t xml:space="preserve"> </w:t>
            </w:r>
            <w:r w:rsidRPr="004062F3">
              <w:rPr>
                <w:rFonts w:cs="Tahoma"/>
                <w:sz w:val="20"/>
                <w:szCs w:val="20"/>
              </w:rPr>
              <w:t xml:space="preserve">la silvicultura y la biodiversidad de la vegetación forestal, y da opción en hacerlo con otros tipos de vegetación natural (por ejemplo lianas </w:t>
            </w:r>
          </w:p>
          <w:p w:rsidR="00E43F91" w:rsidRPr="004062F3" w:rsidRDefault="00E43F91" w:rsidP="00FE3C81">
            <w:pPr>
              <w:ind w:left="328"/>
              <w:rPr>
                <w:rFonts w:cs="Tahoma"/>
                <w:sz w:val="20"/>
                <w:szCs w:val="20"/>
              </w:rPr>
            </w:pPr>
          </w:p>
          <w:p w:rsidR="00E43F91" w:rsidRPr="004062F3" w:rsidRDefault="00E43F91" w:rsidP="00FE3C81">
            <w:pPr>
              <w:ind w:left="328" w:hanging="283"/>
              <w:rPr>
                <w:rFonts w:cs="Tahoma"/>
                <w:sz w:val="20"/>
                <w:szCs w:val="20"/>
              </w:rPr>
            </w:pPr>
            <w:r w:rsidRPr="004062F3">
              <w:rPr>
                <w:rFonts w:cs="Tahoma"/>
                <w:sz w:val="20"/>
                <w:szCs w:val="20"/>
              </w:rPr>
              <w:t>8. El componente socioeconómico es transversal a toda la planificación</w:t>
            </w:r>
            <w:r w:rsidR="007B1CC8">
              <w:rPr>
                <w:rFonts w:cs="Tahoma"/>
                <w:sz w:val="20"/>
                <w:szCs w:val="20"/>
              </w:rPr>
              <w:t xml:space="preserve"> </w:t>
            </w:r>
            <w:r w:rsidRPr="004062F3">
              <w:rPr>
                <w:rFonts w:cs="Tahoma"/>
                <w:sz w:val="20"/>
                <w:szCs w:val="20"/>
              </w:rPr>
              <w:t>de las tierras forestales y enfatiza en caracterizar la relación de las comunidades rurales con los recursos forestales.</w:t>
            </w:r>
          </w:p>
          <w:p w:rsidR="00E43F91" w:rsidRPr="004062F3" w:rsidRDefault="00E43F91" w:rsidP="00FE3C81">
            <w:pPr>
              <w:ind w:left="328" w:hanging="283"/>
              <w:rPr>
                <w:sz w:val="20"/>
                <w:szCs w:val="20"/>
              </w:rPr>
            </w:pPr>
            <w:r w:rsidRPr="004062F3">
              <w:rPr>
                <w:sz w:val="20"/>
                <w:szCs w:val="20"/>
              </w:rPr>
              <w:t>9.</w:t>
            </w:r>
            <w:r w:rsidR="007B1CC8">
              <w:rPr>
                <w:sz w:val="20"/>
                <w:szCs w:val="20"/>
              </w:rPr>
              <w:t xml:space="preserve"> </w:t>
            </w:r>
            <w:r w:rsidRPr="004062F3">
              <w:rPr>
                <w:sz w:val="20"/>
                <w:szCs w:val="20"/>
              </w:rPr>
              <w:t>El componente faunístico es considerado ampliamente bajo el principio de relaciones funcionales entre ella y el bosque (grupos focales)</w:t>
            </w:r>
          </w:p>
          <w:p w:rsidR="00E43F91" w:rsidRPr="004062F3" w:rsidRDefault="00E43F91" w:rsidP="00FE3C81">
            <w:pPr>
              <w:rPr>
                <w:sz w:val="20"/>
                <w:szCs w:val="20"/>
              </w:rPr>
            </w:pPr>
          </w:p>
          <w:p w:rsidR="00E43F91" w:rsidRPr="004062F3" w:rsidRDefault="00E43F91" w:rsidP="00FE3C81">
            <w:pPr>
              <w:ind w:left="328" w:hanging="283"/>
              <w:jc w:val="left"/>
              <w:rPr>
                <w:sz w:val="20"/>
                <w:szCs w:val="20"/>
              </w:rPr>
            </w:pPr>
            <w:r w:rsidRPr="004062F3">
              <w:rPr>
                <w:sz w:val="20"/>
                <w:szCs w:val="20"/>
              </w:rPr>
              <w:t>10.</w:t>
            </w:r>
            <w:r w:rsidR="007B1CC8">
              <w:rPr>
                <w:sz w:val="20"/>
                <w:szCs w:val="20"/>
              </w:rPr>
              <w:t xml:space="preserve"> </w:t>
            </w:r>
            <w:r w:rsidRPr="004062F3">
              <w:rPr>
                <w:sz w:val="20"/>
                <w:szCs w:val="20"/>
              </w:rPr>
              <w:t>Articula la planificación regional y local con la central, promoviendo la armonización y la concertación de las decisiones de ordenación.</w:t>
            </w:r>
          </w:p>
          <w:p w:rsidR="00E43F91" w:rsidRPr="004062F3" w:rsidRDefault="00E43F91" w:rsidP="00FE3C81">
            <w:pPr>
              <w:ind w:left="328" w:hanging="283"/>
              <w:jc w:val="left"/>
              <w:rPr>
                <w:sz w:val="20"/>
                <w:szCs w:val="20"/>
              </w:rPr>
            </w:pPr>
          </w:p>
          <w:p w:rsidR="00E43F91" w:rsidRPr="004062F3" w:rsidRDefault="00E43F91" w:rsidP="00FE3C81">
            <w:pPr>
              <w:ind w:left="328" w:hanging="283"/>
              <w:jc w:val="left"/>
              <w:rPr>
                <w:sz w:val="20"/>
                <w:szCs w:val="20"/>
              </w:rPr>
            </w:pPr>
          </w:p>
          <w:p w:rsidR="00E43F91" w:rsidRPr="004062F3" w:rsidRDefault="00E43F91" w:rsidP="00FE3C81">
            <w:pPr>
              <w:ind w:left="328" w:hanging="283"/>
              <w:jc w:val="left"/>
              <w:rPr>
                <w:sz w:val="20"/>
                <w:szCs w:val="20"/>
              </w:rPr>
            </w:pPr>
          </w:p>
          <w:p w:rsidR="00E43F91" w:rsidRPr="004062F3" w:rsidRDefault="00E43F91" w:rsidP="00FE3C81">
            <w:pPr>
              <w:ind w:left="328" w:hanging="283"/>
              <w:jc w:val="left"/>
              <w:rPr>
                <w:sz w:val="20"/>
                <w:szCs w:val="20"/>
              </w:rPr>
            </w:pPr>
            <w:r w:rsidRPr="004062F3">
              <w:rPr>
                <w:sz w:val="20"/>
                <w:szCs w:val="20"/>
              </w:rPr>
              <w:t>11.</w:t>
            </w:r>
            <w:r w:rsidR="007B1CC8">
              <w:rPr>
                <w:sz w:val="20"/>
                <w:szCs w:val="20"/>
              </w:rPr>
              <w:t xml:space="preserve"> </w:t>
            </w:r>
            <w:r w:rsidRPr="004062F3">
              <w:rPr>
                <w:sz w:val="20"/>
                <w:szCs w:val="20"/>
              </w:rPr>
              <w:t>Los equipos de trabajo son de tipo multidisciplinario.</w:t>
            </w:r>
          </w:p>
        </w:tc>
      </w:tr>
    </w:tbl>
    <w:p w:rsidR="002C11F9" w:rsidRDefault="002C11F9" w:rsidP="004062F3">
      <w:pPr>
        <w:spacing w:before="120"/>
        <w:rPr>
          <w:szCs w:val="22"/>
        </w:rPr>
      </w:pPr>
      <w:r>
        <w:rPr>
          <w:szCs w:val="22"/>
        </w:rPr>
        <w:lastRenderedPageBreak/>
        <w:t>En este contexto, se ha definido que el Plan General de Ordenación Forestal de la CDMB será construido, y posteriormente implementado, aplicando los lineamientos de la ordenación forestal integral y sostenible.</w:t>
      </w:r>
    </w:p>
    <w:p w:rsidR="00E43F91" w:rsidRPr="00DC1A3C" w:rsidRDefault="00AB1269" w:rsidP="004062F3">
      <w:pPr>
        <w:pStyle w:val="Ttulo2"/>
        <w:rPr>
          <w:lang w:val="es-CO"/>
        </w:rPr>
      </w:pPr>
      <w:bookmarkStart w:id="4" w:name="_Toc23137154"/>
      <w:r>
        <w:rPr>
          <w:lang w:val="es-CO"/>
        </w:rPr>
        <w:t>1</w:t>
      </w:r>
      <w:r w:rsidR="00E43F91">
        <w:rPr>
          <w:lang w:val="es-CO"/>
        </w:rPr>
        <w:t xml:space="preserve">.2 </w:t>
      </w:r>
      <w:r>
        <w:rPr>
          <w:lang w:val="es-CO"/>
        </w:rPr>
        <w:t xml:space="preserve">CONTEXTO </w:t>
      </w:r>
      <w:r w:rsidR="00E43F91" w:rsidRPr="00DC1A3C">
        <w:rPr>
          <w:lang w:val="es-CO"/>
        </w:rPr>
        <w:t>COLOMBIA</w:t>
      </w:r>
      <w:r>
        <w:rPr>
          <w:lang w:val="es-CO"/>
        </w:rPr>
        <w:t>NO</w:t>
      </w:r>
      <w:bookmarkEnd w:id="4"/>
    </w:p>
    <w:p w:rsidR="00E678E0" w:rsidRDefault="00E678E0" w:rsidP="00E43F91">
      <w:pPr>
        <w:rPr>
          <w:szCs w:val="22"/>
          <w:lang w:val="es-CO"/>
        </w:rPr>
      </w:pPr>
      <w:r>
        <w:rPr>
          <w:szCs w:val="22"/>
          <w:lang w:val="es-CO"/>
        </w:rPr>
        <w:t>En esta sección se hace una síntesis del avance del país durante los últimos años en cuanto a la conceptualización y aplicación de la ordenación forestal, la pertinencia y la aplicabilidad de guías de ordenación forestal que antecedieron a esta y a las características de los Planes de Ordenación Forestal desarrollados desde el año 2003 hasta la fecha, junto con la extensión de cobertura de los mismos.</w:t>
      </w:r>
    </w:p>
    <w:p w:rsidR="00E43F91" w:rsidRPr="00540CC4" w:rsidRDefault="00540CC4" w:rsidP="00446ECB">
      <w:pPr>
        <w:pStyle w:val="Prrafodelista"/>
        <w:numPr>
          <w:ilvl w:val="0"/>
          <w:numId w:val="16"/>
        </w:numPr>
        <w:spacing w:before="120"/>
        <w:ind w:left="714" w:hanging="357"/>
        <w:contextualSpacing w:val="0"/>
        <w:rPr>
          <w:b/>
          <w:lang w:val="es-CO"/>
        </w:rPr>
      </w:pPr>
      <w:r>
        <w:rPr>
          <w:b/>
          <w:lang w:val="es-CO"/>
        </w:rPr>
        <w:t>Antecedentes</w:t>
      </w:r>
    </w:p>
    <w:p w:rsidR="00E43F91" w:rsidRDefault="00E43F91" w:rsidP="00540CC4">
      <w:r w:rsidRPr="001101B8">
        <w:t>Para el caso</w:t>
      </w:r>
      <w:r>
        <w:t xml:space="preserve"> de Colombia, los</w:t>
      </w:r>
      <w:r w:rsidR="007B1CC8">
        <w:t xml:space="preserve"> </w:t>
      </w:r>
      <w:r>
        <w:t>intentos de aplicación de los paradigmas de la</w:t>
      </w:r>
      <w:r w:rsidR="007B1CC8">
        <w:t xml:space="preserve"> </w:t>
      </w:r>
      <w:r>
        <w:t xml:space="preserve">ordenación forestal clásica, primero, y de la ordenación forestal sostenible, posteriormente, han arrojado resultados con los cuales se puede afirmar que han sido insuficientes e ineficientes como herramientas de alto valor para contribuir a la conservación, la preservación y el uso sostenible de los ecosistemas forestales; debido precisamente a su énfasis en la planificación de los bosques para la producción maderera dejando de lado otros enfoques requeridos para un </w:t>
      </w:r>
      <w:r>
        <w:lastRenderedPageBreak/>
        <w:t>país con altos índices de diversidad biológica, crónicos problemas de seguridad alimentaria y pobreza entre las comunidades rurales, poblaciones locales en las que predominan los sistemas de producción con fuerte participación de la producción forestal de subsistencia, altas tasas de deforestación y cambio de uso de los suelos forestales,</w:t>
      </w:r>
      <w:r w:rsidR="007B1CC8">
        <w:t xml:space="preserve"> </w:t>
      </w:r>
      <w:r>
        <w:t xml:space="preserve">necesidades de abastecimiento del recursos hídrico, presencia de conflicto armado y cultivos ilícitos con epicentro en las regiones con mayor extensión de bosques. </w:t>
      </w:r>
    </w:p>
    <w:p w:rsidR="00E43F91" w:rsidRPr="00CE6A61" w:rsidRDefault="00E43F91" w:rsidP="00540CC4">
      <w:pPr>
        <w:rPr>
          <w:rFonts w:cs="Arial"/>
        </w:rPr>
      </w:pPr>
      <w:r>
        <w:rPr>
          <w:rFonts w:cs="Arial"/>
        </w:rPr>
        <w:t xml:space="preserve">Es así como la construcción de concepto y el instrumento </w:t>
      </w:r>
      <w:r w:rsidR="0008185D">
        <w:rPr>
          <w:rFonts w:cs="Arial"/>
        </w:rPr>
        <w:t xml:space="preserve">técnico </w:t>
      </w:r>
      <w:r>
        <w:rPr>
          <w:rFonts w:cs="Arial"/>
        </w:rPr>
        <w:t>de la Ordenación Forestal Integral y Sostenible</w:t>
      </w:r>
      <w:r w:rsidR="007B1CC8">
        <w:rPr>
          <w:rFonts w:cs="Arial"/>
        </w:rPr>
        <w:t xml:space="preserve"> </w:t>
      </w:r>
      <w:r w:rsidRPr="00804890">
        <w:rPr>
          <w:rFonts w:cs="Arial"/>
        </w:rPr>
        <w:t xml:space="preserve">obedece a la necesidad que el país avance </w:t>
      </w:r>
      <w:r>
        <w:rPr>
          <w:rFonts w:cs="Arial"/>
        </w:rPr>
        <w:t xml:space="preserve">realmente </w:t>
      </w:r>
      <w:r w:rsidRPr="00804890">
        <w:rPr>
          <w:rFonts w:cs="Arial"/>
        </w:rPr>
        <w:t xml:space="preserve">en el desarrollo socioeconómico y </w:t>
      </w:r>
      <w:r>
        <w:rPr>
          <w:rFonts w:cs="Arial"/>
        </w:rPr>
        <w:t xml:space="preserve">en la </w:t>
      </w:r>
      <w:r w:rsidRPr="00804890">
        <w:rPr>
          <w:rFonts w:cs="Arial"/>
        </w:rPr>
        <w:t>conserva</w:t>
      </w:r>
      <w:r>
        <w:rPr>
          <w:rFonts w:cs="Arial"/>
        </w:rPr>
        <w:t>ción, usos sostenible y protección de</w:t>
      </w:r>
      <w:r w:rsidR="007B1CC8">
        <w:rPr>
          <w:rFonts w:cs="Arial"/>
        </w:rPr>
        <w:t xml:space="preserve"> </w:t>
      </w:r>
      <w:r>
        <w:rPr>
          <w:rFonts w:cs="Arial"/>
        </w:rPr>
        <w:t xml:space="preserve">los recursos y los servicios de los ecosistemas forestales, incorporando nuevos enfoques, tales como el de la </w:t>
      </w:r>
      <w:r w:rsidRPr="00804890">
        <w:rPr>
          <w:rFonts w:cs="Arial"/>
        </w:rPr>
        <w:t xml:space="preserve">economía campesina, los sistemas de producción </w:t>
      </w:r>
      <w:r>
        <w:rPr>
          <w:rFonts w:cs="Arial"/>
        </w:rPr>
        <w:t xml:space="preserve">basados en los recursos y servicios de los bosques, </w:t>
      </w:r>
      <w:r w:rsidRPr="00804890">
        <w:rPr>
          <w:rFonts w:cs="Arial"/>
        </w:rPr>
        <w:t>los derechos de los pueblos locales,</w:t>
      </w:r>
      <w:r w:rsidR="007B1CC8">
        <w:rPr>
          <w:rFonts w:cs="Arial"/>
        </w:rPr>
        <w:t xml:space="preserve"> </w:t>
      </w:r>
      <w:r>
        <w:rPr>
          <w:rFonts w:cs="Arial"/>
        </w:rPr>
        <w:t>la planeación de tierras afectadas por cultivos ilícitos, las situaciones crónicas de pobreza e inseguridad alimentaria entre muchas de las poblaciones</w:t>
      </w:r>
      <w:r w:rsidR="007B1CC8">
        <w:rPr>
          <w:rFonts w:cs="Arial"/>
        </w:rPr>
        <w:t xml:space="preserve"> </w:t>
      </w:r>
      <w:r>
        <w:rPr>
          <w:rFonts w:cs="Arial"/>
        </w:rPr>
        <w:t xml:space="preserve">rurales; los cuales permiten disponer de </w:t>
      </w:r>
      <w:r w:rsidRPr="00804890">
        <w:rPr>
          <w:rFonts w:cs="Arial"/>
        </w:rPr>
        <w:t xml:space="preserve">una visión integral y sostenible en la gestión de </w:t>
      </w:r>
      <w:r>
        <w:rPr>
          <w:rFonts w:cs="Arial"/>
        </w:rPr>
        <w:t>las tierras de vocación forestal.</w:t>
      </w:r>
      <w:r w:rsidR="007B1CC8">
        <w:rPr>
          <w:rFonts w:cs="Arial"/>
        </w:rPr>
        <w:t xml:space="preserve"> </w:t>
      </w:r>
      <w:r>
        <w:rPr>
          <w:rFonts w:cs="Arial"/>
        </w:rPr>
        <w:t xml:space="preserve">Además, porque plantea un modelo basado </w:t>
      </w:r>
      <w:r w:rsidRPr="00CE6A61">
        <w:rPr>
          <w:rFonts w:cs="Arial"/>
        </w:rPr>
        <w:t>en una nueva concepción ecosistémica y sociosistémica de la ordenación y el manejo de los ecosistemas forestales , junto con los avances</w:t>
      </w:r>
      <w:r w:rsidR="007B1CC8">
        <w:rPr>
          <w:rFonts w:cs="Arial"/>
        </w:rPr>
        <w:t xml:space="preserve"> </w:t>
      </w:r>
      <w:r w:rsidRPr="00CE6A61">
        <w:rPr>
          <w:rFonts w:cs="Arial"/>
        </w:rPr>
        <w:t>del conocimiento técnico-científico y socioeconómico</w:t>
      </w:r>
      <w:r w:rsidR="007B1CC8">
        <w:rPr>
          <w:rFonts w:cs="Arial"/>
        </w:rPr>
        <w:t xml:space="preserve"> </w:t>
      </w:r>
      <w:r w:rsidRPr="00CE6A61">
        <w:rPr>
          <w:rFonts w:cs="Arial"/>
        </w:rPr>
        <w:t>para la conservación y el uso sostenible de estos</w:t>
      </w:r>
      <w:r w:rsidR="003E4856">
        <w:rPr>
          <w:rFonts w:cs="Arial"/>
        </w:rPr>
        <w:t xml:space="preserve">, junto con la naturaleza de </w:t>
      </w:r>
      <w:r w:rsidRPr="00CE6A61">
        <w:rPr>
          <w:rFonts w:cs="Arial"/>
        </w:rPr>
        <w:t>la ins</w:t>
      </w:r>
      <w:r w:rsidR="003E4856">
        <w:rPr>
          <w:rFonts w:cs="Arial"/>
        </w:rPr>
        <w:t>titucionalidad y la normativa</w:t>
      </w:r>
      <w:r w:rsidRPr="00CE6A61">
        <w:rPr>
          <w:rFonts w:cs="Arial"/>
        </w:rPr>
        <w:t xml:space="preserve"> vigentes en estos temas.</w:t>
      </w:r>
    </w:p>
    <w:p w:rsidR="00E43F91" w:rsidRPr="009F28E6" w:rsidRDefault="00E43F91" w:rsidP="00540CC4">
      <w:pPr>
        <w:rPr>
          <w:rFonts w:cs="Arial"/>
          <w:lang w:val="es-CO"/>
        </w:rPr>
      </w:pPr>
      <w:r w:rsidRPr="009F28E6">
        <w:rPr>
          <w:lang w:val="es-CO"/>
        </w:rPr>
        <w:t xml:space="preserve">Unido a lo anterior, se tiene que durante casi las últimas tres décadas </w:t>
      </w:r>
      <w:r w:rsidRPr="009F28E6">
        <w:t>el país ha venido desarrollando normas e importantes políticas y lineamientos de política de tipo ambiental y social, en varios casos vinculadas a compromisos internacionales; y bajo las cuales se hace necesario desarrollar la gestión de los ecosistemas forestales, incluyendo la ordenaci</w:t>
      </w:r>
      <w:r w:rsidR="003E4856">
        <w:t>ón forestal;</w:t>
      </w:r>
      <w:r w:rsidRPr="009F28E6">
        <w:t xml:space="preserve"> varias </w:t>
      </w:r>
      <w:r w:rsidR="003E4856">
        <w:t>de dichas políticas y normas se hallan</w:t>
      </w:r>
      <w:r w:rsidRPr="009F28E6">
        <w:t xml:space="preserve"> señaladas </w:t>
      </w:r>
      <w:r w:rsidR="003E4856">
        <w:t>en la S</w:t>
      </w:r>
      <w:r w:rsidRPr="00BF494F">
        <w:t>ección</w:t>
      </w:r>
      <w:r w:rsidRPr="00BF494F">
        <w:rPr>
          <w:rFonts w:cs="Arial"/>
          <w:lang w:val="es-CO"/>
        </w:rPr>
        <w:t xml:space="preserve"> MARCO</w:t>
      </w:r>
      <w:r w:rsidRPr="009F28E6">
        <w:rPr>
          <w:rFonts w:cs="Arial"/>
          <w:lang w:val="es-CO"/>
        </w:rPr>
        <w:t xml:space="preserve"> POLÍTICO Y MARCO NORMATIVO del </w:t>
      </w:r>
      <w:r>
        <w:rPr>
          <w:rFonts w:cs="Arial"/>
          <w:lang w:val="es-CO"/>
        </w:rPr>
        <w:t xml:space="preserve">presente </w:t>
      </w:r>
      <w:r w:rsidRPr="009F28E6">
        <w:rPr>
          <w:rFonts w:cs="Arial"/>
          <w:lang w:val="es-CO"/>
        </w:rPr>
        <w:t>C</w:t>
      </w:r>
      <w:r>
        <w:rPr>
          <w:rFonts w:cs="Arial"/>
          <w:lang w:val="es-CO"/>
        </w:rPr>
        <w:t>apítulo</w:t>
      </w:r>
      <w:r w:rsidRPr="009F28E6">
        <w:rPr>
          <w:rFonts w:cs="Arial"/>
          <w:lang w:val="es-CO"/>
        </w:rPr>
        <w:t>.</w:t>
      </w:r>
    </w:p>
    <w:p w:rsidR="00E43F91" w:rsidRDefault="00E43F91" w:rsidP="00540CC4">
      <w:pPr>
        <w:rPr>
          <w:lang w:val="es-CO"/>
        </w:rPr>
      </w:pPr>
      <w:r>
        <w:rPr>
          <w:lang w:val="es-CO"/>
        </w:rPr>
        <w:t xml:space="preserve">Es así como todas las situaciones anteriormente descritas conllevaron progresivamente a crear conciencia sobre la necesidad que el país construyera un modelo de ordenación forestal propio y acorde con la situación de sus recursos forestales, la problemática ambiental y socioeconómica existente y las necesidades y metas de desarrollo. </w:t>
      </w:r>
      <w:r w:rsidR="003E4856">
        <w:rPr>
          <w:lang w:val="es-CO"/>
        </w:rPr>
        <w:t>Y</w:t>
      </w:r>
      <w:r>
        <w:rPr>
          <w:lang w:val="es-CO"/>
        </w:rPr>
        <w:t xml:space="preserve">, mediante el trabajo continuo </w:t>
      </w:r>
      <w:r w:rsidR="003E4856">
        <w:rPr>
          <w:lang w:val="es-CO"/>
        </w:rPr>
        <w:t xml:space="preserve">desplegado </w:t>
      </w:r>
      <w:r>
        <w:rPr>
          <w:lang w:val="es-CO"/>
        </w:rPr>
        <w:t xml:space="preserve">durante los útimos 5 años, se ha llegado desde el </w:t>
      </w:r>
      <w:r w:rsidR="003E4856" w:rsidRPr="0032496B">
        <w:rPr>
          <w:lang w:val="es-CO"/>
        </w:rPr>
        <w:t>Ministerio de Ambiente y Desarrollo Sostenible</w:t>
      </w:r>
      <w:r w:rsidR="003E4856">
        <w:rPr>
          <w:lang w:val="es-CO"/>
        </w:rPr>
        <w:t xml:space="preserve"> (</w:t>
      </w:r>
      <w:r>
        <w:rPr>
          <w:lang w:val="es-CO"/>
        </w:rPr>
        <w:t>MADS</w:t>
      </w:r>
      <w:r w:rsidR="003E4856">
        <w:rPr>
          <w:lang w:val="es-CO"/>
        </w:rPr>
        <w:t>)</w:t>
      </w:r>
      <w:r>
        <w:rPr>
          <w:lang w:val="es-CO"/>
        </w:rPr>
        <w:t xml:space="preserve"> </w:t>
      </w:r>
      <w:r w:rsidRPr="00F567CB">
        <w:rPr>
          <w:lang w:val="es-CO"/>
        </w:rPr>
        <w:t xml:space="preserve">al concepto de la Ordenación Forestal Integral y Sostenible, </w:t>
      </w:r>
      <w:r>
        <w:rPr>
          <w:lang w:val="es-CO"/>
        </w:rPr>
        <w:t>objeto de la presente Guía,</w:t>
      </w:r>
      <w:r w:rsidRPr="00F567CB">
        <w:rPr>
          <w:lang w:val="es-CO"/>
        </w:rPr>
        <w:t xml:space="preserve"> </w:t>
      </w:r>
      <w:r>
        <w:rPr>
          <w:lang w:val="es-CO"/>
        </w:rPr>
        <w:t>que</w:t>
      </w:r>
      <w:r w:rsidRPr="00F567CB">
        <w:rPr>
          <w:lang w:val="es-CO"/>
        </w:rPr>
        <w:t xml:space="preserve"> incluye en un mismo nivel jerárquico y </w:t>
      </w:r>
      <w:r w:rsidR="003E4856">
        <w:rPr>
          <w:lang w:val="es-CO"/>
        </w:rPr>
        <w:t>otorga</w:t>
      </w:r>
      <w:r w:rsidRPr="00F567CB">
        <w:rPr>
          <w:lang w:val="es-CO"/>
        </w:rPr>
        <w:t xml:space="preserve"> igual significancia a los componentes ecológico</w:t>
      </w:r>
      <w:r>
        <w:rPr>
          <w:lang w:val="es-CO"/>
        </w:rPr>
        <w:t xml:space="preserve">, </w:t>
      </w:r>
      <w:r w:rsidRPr="00F567CB">
        <w:rPr>
          <w:lang w:val="es-CO"/>
        </w:rPr>
        <w:t>silvicultural, social, cultural, económico, legal e institucional</w:t>
      </w:r>
      <w:r>
        <w:rPr>
          <w:lang w:val="es-CO"/>
        </w:rPr>
        <w:t xml:space="preserve">, y con el cual </w:t>
      </w:r>
      <w:r w:rsidRPr="00D01FE8">
        <w:rPr>
          <w:lang w:val="es-CO"/>
        </w:rPr>
        <w:t>se busca</w:t>
      </w:r>
      <w:r w:rsidR="003E4856">
        <w:rPr>
          <w:lang w:val="es-CO"/>
        </w:rPr>
        <w:t>, además,</w:t>
      </w:r>
      <w:r w:rsidRPr="00D01FE8">
        <w:rPr>
          <w:i/>
          <w:lang w:val="es-CO"/>
        </w:rPr>
        <w:t xml:space="preserve"> </w:t>
      </w:r>
      <w:r w:rsidRPr="00D01FE8">
        <w:rPr>
          <w:rStyle w:val="nfasis"/>
          <w:i w:val="0"/>
          <w:szCs w:val="22"/>
        </w:rPr>
        <w:t xml:space="preserve">superar la </w:t>
      </w:r>
      <w:r w:rsidR="003E4856">
        <w:rPr>
          <w:rStyle w:val="nfasis"/>
          <w:i w:val="0"/>
          <w:szCs w:val="22"/>
        </w:rPr>
        <w:t xml:space="preserve">generalizada </w:t>
      </w:r>
      <w:r w:rsidRPr="00D01FE8">
        <w:rPr>
          <w:rStyle w:val="nfasis"/>
          <w:i w:val="0"/>
          <w:szCs w:val="22"/>
        </w:rPr>
        <w:t>visión reduccionista de la ordenación para la producción maderera</w:t>
      </w:r>
      <w:r>
        <w:rPr>
          <w:rStyle w:val="nfasis"/>
          <w:i w:val="0"/>
          <w:szCs w:val="22"/>
        </w:rPr>
        <w:t xml:space="preserve">, la cual no es funcional en las circunstancias actuales, y posiblemente tampoco lo será en el futuro del país. </w:t>
      </w:r>
      <w:r w:rsidR="003E4856">
        <w:rPr>
          <w:rStyle w:val="nfasis"/>
          <w:i w:val="0"/>
          <w:szCs w:val="22"/>
        </w:rPr>
        <w:t xml:space="preserve">Como corolario de lo anteriormente expuesto, </w:t>
      </w:r>
      <w:r w:rsidR="003E4856">
        <w:rPr>
          <w:lang w:val="es-CO"/>
        </w:rPr>
        <w:t xml:space="preserve">este Ministerio </w:t>
      </w:r>
      <w:r w:rsidRPr="0032496B">
        <w:rPr>
          <w:lang w:val="es-CO"/>
        </w:rPr>
        <w:t xml:space="preserve">ha desplegado </w:t>
      </w:r>
      <w:r w:rsidR="003E4856">
        <w:rPr>
          <w:lang w:val="es-CO"/>
        </w:rPr>
        <w:t xml:space="preserve">el </w:t>
      </w:r>
      <w:r w:rsidRPr="0032496B">
        <w:rPr>
          <w:lang w:val="es-CO"/>
        </w:rPr>
        <w:t>proceso de instrumentación técnica</w:t>
      </w:r>
      <w:r w:rsidR="003E4856">
        <w:rPr>
          <w:lang w:val="es-CO"/>
        </w:rPr>
        <w:t xml:space="preserve">, incluyendo la generación de la presente Guía, junto con la sensibilización, la capacitación y el </w:t>
      </w:r>
      <w:r>
        <w:rPr>
          <w:lang w:val="es-CO"/>
        </w:rPr>
        <w:t>acompaña</w:t>
      </w:r>
      <w:r w:rsidR="003E4856">
        <w:rPr>
          <w:lang w:val="es-CO"/>
        </w:rPr>
        <w:t xml:space="preserve">miento técnico dirigido </w:t>
      </w:r>
      <w:r w:rsidRPr="0032496B">
        <w:rPr>
          <w:lang w:val="es-CO"/>
        </w:rPr>
        <w:t xml:space="preserve">a las Autoridades Ambientales </w:t>
      </w:r>
      <w:r w:rsidRPr="00AB1269">
        <w:rPr>
          <w:lang w:val="es-CO"/>
        </w:rPr>
        <w:t>Regionales</w:t>
      </w:r>
      <w:r w:rsidR="003E4856">
        <w:rPr>
          <w:lang w:val="es-CO"/>
        </w:rPr>
        <w:t xml:space="preserve">; con el fin que en el futuro </w:t>
      </w:r>
      <w:r w:rsidRPr="00AB1269">
        <w:rPr>
          <w:lang w:val="es-CO"/>
        </w:rPr>
        <w:t>cada una de ellas</w:t>
      </w:r>
      <w:r w:rsidR="007B1CC8">
        <w:rPr>
          <w:lang w:val="es-CO"/>
        </w:rPr>
        <w:t xml:space="preserve"> </w:t>
      </w:r>
      <w:r w:rsidRPr="00AB1269">
        <w:rPr>
          <w:lang w:val="es-CO"/>
        </w:rPr>
        <w:t>tenga formulado, adoptado y en proceso de implementación su respectivo Plan General de Ordenación Forestal</w:t>
      </w:r>
      <w:r w:rsidR="003E4856">
        <w:rPr>
          <w:lang w:val="es-CO"/>
        </w:rPr>
        <w:t xml:space="preserve"> PGOF</w:t>
      </w:r>
      <w:r w:rsidR="00540CC4">
        <w:rPr>
          <w:lang w:val="es-CO"/>
        </w:rPr>
        <w:t>.</w:t>
      </w:r>
    </w:p>
    <w:p w:rsidR="00E43F91" w:rsidRPr="00540CC4" w:rsidRDefault="00540CC4" w:rsidP="00446ECB">
      <w:pPr>
        <w:pStyle w:val="Prrafodelista"/>
        <w:numPr>
          <w:ilvl w:val="0"/>
          <w:numId w:val="17"/>
        </w:numPr>
        <w:spacing w:before="120"/>
        <w:ind w:left="714" w:hanging="357"/>
        <w:contextualSpacing w:val="0"/>
        <w:rPr>
          <w:b/>
        </w:rPr>
      </w:pPr>
      <w:r>
        <w:rPr>
          <w:b/>
        </w:rPr>
        <w:t>Guías d</w:t>
      </w:r>
      <w:r w:rsidRPr="00540CC4">
        <w:rPr>
          <w:b/>
        </w:rPr>
        <w:t>e Ordenación Forestal</w:t>
      </w:r>
    </w:p>
    <w:p w:rsidR="00CE3F2F" w:rsidRDefault="00E43F91" w:rsidP="00540CC4">
      <w:r w:rsidRPr="004C4575">
        <w:t xml:space="preserve">En primer lugar, y con referencia a las guías de ordenación forestal, a la presente Guía le antecedieron las dos </w:t>
      </w:r>
      <w:r w:rsidR="00CE3F2F">
        <w:t>que a continuación se mencionan:</w:t>
      </w:r>
    </w:p>
    <w:p w:rsidR="00E43F91" w:rsidRPr="00540CC4" w:rsidRDefault="00E43F91" w:rsidP="00446ECB">
      <w:pPr>
        <w:pStyle w:val="Prrafodelista"/>
        <w:numPr>
          <w:ilvl w:val="0"/>
          <w:numId w:val="18"/>
        </w:numPr>
        <w:rPr>
          <w:rFonts w:cs="Arial"/>
          <w:szCs w:val="22"/>
          <w:lang w:val="es-MX"/>
        </w:rPr>
      </w:pPr>
      <w:r w:rsidRPr="00540CC4">
        <w:rPr>
          <w:rFonts w:cs="Arial"/>
          <w:i/>
          <w:szCs w:val="22"/>
        </w:rPr>
        <w:t>Guías Técnicas para la Ordenación y el Manejo Sostenible de los Bosques Naturales</w:t>
      </w:r>
      <w:r w:rsidRPr="00540CC4">
        <w:rPr>
          <w:rFonts w:cs="Arial"/>
          <w:szCs w:val="22"/>
        </w:rPr>
        <w:t xml:space="preserve">, </w:t>
      </w:r>
      <w:r w:rsidRPr="00540CC4">
        <w:rPr>
          <w:rFonts w:cs="Arial"/>
          <w:szCs w:val="22"/>
          <w:lang w:val="es-MX"/>
        </w:rPr>
        <w:t xml:space="preserve">elaborada en el año 2002 en el marco del </w:t>
      </w:r>
      <w:r w:rsidRPr="00540CC4">
        <w:rPr>
          <w:rFonts w:cs="Arial"/>
          <w:szCs w:val="22"/>
        </w:rPr>
        <w:t xml:space="preserve">Proyecto “Aplicación y Evaluación de Criterios e Indicadores para la Ordenación Sostenible de los Bosques Naturales” PD 8/97, REV 2 (F), auspiciado por la Organización Internacional de Maderas Tropicales </w:t>
      </w:r>
      <w:r w:rsidRPr="00540CC4">
        <w:rPr>
          <w:rFonts w:cs="Arial"/>
          <w:szCs w:val="22"/>
          <w:lang w:val="es-MX"/>
        </w:rPr>
        <w:t xml:space="preserve">(OIMT). </w:t>
      </w:r>
    </w:p>
    <w:p w:rsidR="00E43F91" w:rsidRPr="00540CC4" w:rsidRDefault="00E43F91" w:rsidP="00446ECB">
      <w:pPr>
        <w:pStyle w:val="Prrafodelista"/>
        <w:numPr>
          <w:ilvl w:val="0"/>
          <w:numId w:val="18"/>
        </w:numPr>
        <w:rPr>
          <w:rFonts w:cs="Arial"/>
          <w:szCs w:val="22"/>
          <w:lang w:val="es-MX"/>
        </w:rPr>
      </w:pPr>
      <w:r w:rsidRPr="00540CC4">
        <w:rPr>
          <w:rFonts w:cs="Arial"/>
          <w:bCs/>
          <w:i/>
          <w:szCs w:val="22"/>
          <w:lang w:val="es-MX"/>
        </w:rPr>
        <w:t>Guía Metodológica para la Elaboración del Plan General de Ordenación Forestal – PGOF</w:t>
      </w:r>
      <w:r w:rsidRPr="00540CC4">
        <w:rPr>
          <w:rFonts w:cs="Arial"/>
          <w:bCs/>
          <w:szCs w:val="22"/>
          <w:lang w:val="es-MX"/>
        </w:rPr>
        <w:t>, elaborada por CONIF en Convenio con el entonces MAVDT, año 2007</w:t>
      </w:r>
      <w:r w:rsidRPr="00540CC4">
        <w:rPr>
          <w:rFonts w:cs="Arial"/>
          <w:szCs w:val="22"/>
          <w:lang w:val="es-MX"/>
        </w:rPr>
        <w:t>.</w:t>
      </w:r>
    </w:p>
    <w:p w:rsidR="007C5CE1" w:rsidRPr="00540CC4" w:rsidRDefault="007C5CE1" w:rsidP="00446ECB">
      <w:pPr>
        <w:pStyle w:val="Prrafodelista"/>
        <w:numPr>
          <w:ilvl w:val="0"/>
          <w:numId w:val="18"/>
        </w:numPr>
        <w:rPr>
          <w:rFonts w:cs="Arial"/>
          <w:szCs w:val="22"/>
        </w:rPr>
      </w:pPr>
      <w:r w:rsidRPr="00540CC4">
        <w:rPr>
          <w:rFonts w:cs="Arial"/>
          <w:i/>
          <w:szCs w:val="22"/>
          <w:lang w:val="es-MX"/>
        </w:rPr>
        <w:t>Guía para el Desarrollo de la Ordenación Forestal Integral y Sostenible en Colombia.</w:t>
      </w:r>
      <w:r w:rsidR="007B1CC8">
        <w:rPr>
          <w:rFonts w:cs="Arial"/>
          <w:szCs w:val="22"/>
          <w:lang w:val="es-MX"/>
        </w:rPr>
        <w:t xml:space="preserve"> </w:t>
      </w:r>
      <w:r w:rsidRPr="00540CC4">
        <w:rPr>
          <w:rFonts w:cs="Arial"/>
          <w:szCs w:val="22"/>
          <w:lang w:val="es-MX"/>
        </w:rPr>
        <w:t>Elaborada</w:t>
      </w:r>
      <w:r w:rsidR="007B1CC8">
        <w:rPr>
          <w:rFonts w:cs="Arial"/>
          <w:szCs w:val="22"/>
          <w:lang w:val="es-MX"/>
        </w:rPr>
        <w:t xml:space="preserve"> </w:t>
      </w:r>
      <w:r w:rsidRPr="00540CC4">
        <w:rPr>
          <w:rFonts w:cs="Arial"/>
          <w:szCs w:val="22"/>
          <w:lang w:val="es-MX"/>
        </w:rPr>
        <w:t>por el Ministerio de Ambiente y Desarrollo Sostenible de la República de Colombia, año 2015</w:t>
      </w:r>
      <w:r w:rsidR="00F476CE" w:rsidRPr="00540CC4">
        <w:rPr>
          <w:rFonts w:cs="Arial"/>
          <w:szCs w:val="22"/>
          <w:lang w:val="es-MX"/>
        </w:rPr>
        <w:t>.</w:t>
      </w:r>
    </w:p>
    <w:p w:rsidR="00E43F91" w:rsidRDefault="00CE3F2F" w:rsidP="00540CC4">
      <w:pPr>
        <w:rPr>
          <w:lang w:val="es-MX"/>
        </w:rPr>
      </w:pPr>
      <w:r>
        <w:rPr>
          <w:lang w:val="es-MX"/>
        </w:rPr>
        <w:t>E</w:t>
      </w:r>
      <w:r w:rsidR="00547A98">
        <w:rPr>
          <w:lang w:val="es-MX"/>
        </w:rPr>
        <w:t xml:space="preserve">n </w:t>
      </w:r>
      <w:r w:rsidR="00E43F91" w:rsidRPr="004C6A96">
        <w:rPr>
          <w:lang w:val="es-MX"/>
        </w:rPr>
        <w:t xml:space="preserve">el año 2009 </w:t>
      </w:r>
      <w:r w:rsidR="00E43F91">
        <w:rPr>
          <w:lang w:val="es-MX"/>
        </w:rPr>
        <w:t xml:space="preserve">el entonces </w:t>
      </w:r>
      <w:r>
        <w:rPr>
          <w:lang w:val="es-MX"/>
        </w:rPr>
        <w:t>Ministerio de Ambiente Vivienda y Desarrollo Territorial (</w:t>
      </w:r>
      <w:r w:rsidR="00E43F91">
        <w:rPr>
          <w:lang w:val="es-MX"/>
        </w:rPr>
        <w:t>MAVDT</w:t>
      </w:r>
      <w:r>
        <w:rPr>
          <w:lang w:val="es-MX"/>
        </w:rPr>
        <w:t>)</w:t>
      </w:r>
      <w:r w:rsidR="00E43F91">
        <w:rPr>
          <w:lang w:val="es-MX"/>
        </w:rPr>
        <w:t xml:space="preserve"> efectuó </w:t>
      </w:r>
      <w:r w:rsidR="00E43F91" w:rsidRPr="004C6A96">
        <w:rPr>
          <w:lang w:val="es-MX"/>
        </w:rPr>
        <w:t>una comparació</w:t>
      </w:r>
      <w:r w:rsidR="007C5CE1">
        <w:rPr>
          <w:lang w:val="es-MX"/>
        </w:rPr>
        <w:t xml:space="preserve">n y evaluación analítica de la 1ª) y la 2ª) </w:t>
      </w:r>
      <w:r w:rsidR="00E43F91" w:rsidRPr="004C6A96">
        <w:rPr>
          <w:lang w:val="es-MX"/>
        </w:rPr>
        <w:t>Guías</w:t>
      </w:r>
      <w:r w:rsidR="007C5CE1">
        <w:rPr>
          <w:lang w:val="es-MX"/>
        </w:rPr>
        <w:t xml:space="preserve"> antes mencionadas</w:t>
      </w:r>
      <w:r>
        <w:rPr>
          <w:lang w:val="es-MX"/>
        </w:rPr>
        <w:t>;</w:t>
      </w:r>
      <w:r w:rsidR="00E43F91" w:rsidRPr="004C6A96">
        <w:rPr>
          <w:lang w:val="es-MX"/>
        </w:rPr>
        <w:t xml:space="preserve"> con el fin, en ese entonces, de determinar </w:t>
      </w:r>
      <w:r w:rsidR="00E43F91" w:rsidRPr="001101B8">
        <w:rPr>
          <w:lang w:val="es-MX"/>
        </w:rPr>
        <w:t>la pertinencia de las mismas o, en su defecto, decidir la construcción de una nueva Guía. Para el efecto, fueron sistematizados</w:t>
      </w:r>
      <w:r w:rsidR="00E43F91" w:rsidRPr="004C6A96">
        <w:rPr>
          <w:lang w:val="es-MX"/>
        </w:rPr>
        <w:t xml:space="preserve"> minuciosamente sus elementos conceptuales y técnicos y se hizo inferencia acerca de su efecto proactivo como eventuales herramientas</w:t>
      </w:r>
      <w:r w:rsidR="007B1CC8">
        <w:rPr>
          <w:lang w:val="es-MX"/>
        </w:rPr>
        <w:t xml:space="preserve"> </w:t>
      </w:r>
      <w:r w:rsidR="00E43F91" w:rsidRPr="004C6A96">
        <w:rPr>
          <w:lang w:val="es-MX"/>
        </w:rPr>
        <w:t xml:space="preserve">para implementar la ordenación forestal en el país y, en </w:t>
      </w:r>
      <w:r w:rsidR="00E43F91" w:rsidRPr="004C6A96">
        <w:rPr>
          <w:lang w:val="es-MX"/>
        </w:rPr>
        <w:lastRenderedPageBreak/>
        <w:t xml:space="preserve">caso positivo, proceder a ajustarlas, validarlas y adoptarlas. </w:t>
      </w:r>
      <w:r w:rsidR="00E43F91">
        <w:rPr>
          <w:lang w:val="es-MX"/>
        </w:rPr>
        <w:t>Igualmente</w:t>
      </w:r>
      <w:r>
        <w:rPr>
          <w:lang w:val="es-MX"/>
        </w:rPr>
        <w:t xml:space="preserve">, y para complementar dicho propósito, </w:t>
      </w:r>
      <w:r w:rsidR="00E43F91">
        <w:rPr>
          <w:lang w:val="es-MX"/>
        </w:rPr>
        <w:t xml:space="preserve">fueron evaluados diez (10) Planes Generales de Ordenación Forestal </w:t>
      </w:r>
      <w:r>
        <w:rPr>
          <w:lang w:val="es-MX"/>
        </w:rPr>
        <w:t xml:space="preserve">que habían sido </w:t>
      </w:r>
      <w:r w:rsidR="00E43F91">
        <w:rPr>
          <w:lang w:val="es-MX"/>
        </w:rPr>
        <w:t>elaborados siguiendo lo</w:t>
      </w:r>
      <w:r>
        <w:rPr>
          <w:lang w:val="es-MX"/>
        </w:rPr>
        <w:t>s lineamientos e</w:t>
      </w:r>
      <w:r w:rsidR="00E43F91">
        <w:rPr>
          <w:lang w:val="es-MX"/>
        </w:rPr>
        <w:t>stablecido</w:t>
      </w:r>
      <w:r>
        <w:rPr>
          <w:lang w:val="es-MX"/>
        </w:rPr>
        <w:t>s</w:t>
      </w:r>
      <w:r w:rsidR="00E43F91">
        <w:rPr>
          <w:lang w:val="es-MX"/>
        </w:rPr>
        <w:t xml:space="preserve"> en la “Guía OIMT”. Con los resultados así obtenidos</w:t>
      </w:r>
      <w:r w:rsidR="00576550">
        <w:rPr>
          <w:lang w:val="es-MX"/>
        </w:rPr>
        <w:t>,</w:t>
      </w:r>
      <w:r w:rsidR="00E43F91">
        <w:rPr>
          <w:lang w:val="es-MX"/>
        </w:rPr>
        <w:t xml:space="preserve"> se concluyó sobre la evidente </w:t>
      </w:r>
      <w:r w:rsidR="00E43F91" w:rsidRPr="0043419C">
        <w:rPr>
          <w:lang w:val="es-MX"/>
        </w:rPr>
        <w:t>neces</w:t>
      </w:r>
      <w:r w:rsidR="00E43F91">
        <w:rPr>
          <w:lang w:val="es-MX"/>
        </w:rPr>
        <w:t>idad de</w:t>
      </w:r>
      <w:r w:rsidR="00E43F91" w:rsidRPr="0043419C">
        <w:rPr>
          <w:lang w:val="es-MX"/>
        </w:rPr>
        <w:t xml:space="preserve"> elaborar </w:t>
      </w:r>
      <w:r w:rsidR="00E43F91">
        <w:rPr>
          <w:lang w:val="es-MX"/>
        </w:rPr>
        <w:t xml:space="preserve">y aplicar </w:t>
      </w:r>
      <w:r w:rsidR="00E43F91" w:rsidRPr="0043419C">
        <w:rPr>
          <w:lang w:val="es-MX"/>
        </w:rPr>
        <w:t xml:space="preserve">una nueva Guía de Ordenación Forestal para Colombia, con visión ecosistémica y concepción de integralidad y sostenibilidad de la ordenación y el manejo forestal </w:t>
      </w:r>
      <w:r w:rsidR="00E43F91">
        <w:rPr>
          <w:lang w:val="es-MX"/>
        </w:rPr>
        <w:t xml:space="preserve">de las tierras forestales </w:t>
      </w:r>
      <w:r w:rsidR="00E43F91" w:rsidRPr="0043419C">
        <w:rPr>
          <w:lang w:val="es-MX"/>
        </w:rPr>
        <w:t>de Colombia</w:t>
      </w:r>
      <w:r w:rsidR="00E43F91" w:rsidRPr="004C6A96">
        <w:rPr>
          <w:rStyle w:val="Refdenotaalpie"/>
          <w:szCs w:val="22"/>
          <w:lang w:val="es-MX"/>
        </w:rPr>
        <w:footnoteReference w:id="3"/>
      </w:r>
      <w:r w:rsidR="00E43F91">
        <w:rPr>
          <w:lang w:val="es-MX"/>
        </w:rPr>
        <w:t xml:space="preserve">. </w:t>
      </w:r>
    </w:p>
    <w:p w:rsidR="007C5CE1" w:rsidRDefault="00E43F91" w:rsidP="00540CC4">
      <w:pPr>
        <w:rPr>
          <w:lang w:val="es-MX"/>
        </w:rPr>
      </w:pPr>
      <w:r>
        <w:rPr>
          <w:lang w:val="es-MX"/>
        </w:rPr>
        <w:t xml:space="preserve">Y, como punto culminante del proceso antes descrito, al interior de la entonces denominada </w:t>
      </w:r>
      <w:r w:rsidRPr="00267E38">
        <w:rPr>
          <w:lang w:val="es-MX"/>
        </w:rPr>
        <w:t>Dirección de Ecosistemas</w:t>
      </w:r>
      <w:r>
        <w:rPr>
          <w:lang w:val="es-MX"/>
        </w:rPr>
        <w:t xml:space="preserve"> se tomó la decisión de construir una nueva Guía que actualizara las dos Guías previas, aunque retomando de ellas los insumos que aún siguieran siendo válidos y que permitieran avanzar más rápidamente</w:t>
      </w:r>
      <w:r w:rsidR="007B1CC8">
        <w:rPr>
          <w:lang w:val="es-MX"/>
        </w:rPr>
        <w:t xml:space="preserve"> </w:t>
      </w:r>
      <w:r>
        <w:rPr>
          <w:lang w:val="es-MX"/>
        </w:rPr>
        <w:t>en tal meta</w:t>
      </w:r>
      <w:r w:rsidR="007C5CE1">
        <w:rPr>
          <w:lang w:val="es-MX"/>
        </w:rPr>
        <w:t>, dando lugar a la 3ª) Guía antes citada</w:t>
      </w:r>
    </w:p>
    <w:p w:rsidR="00E43F91" w:rsidRDefault="007C5CE1" w:rsidP="00540CC4">
      <w:pPr>
        <w:rPr>
          <w:lang w:val="es-MX"/>
        </w:rPr>
      </w:pPr>
      <w:r>
        <w:rPr>
          <w:lang w:val="es-MX"/>
        </w:rPr>
        <w:t>Sin embargo, hasta el año 2018 ninguna de las tres guías ya citadas había sido adoptada. E, incluso, el Ministerio de Ambiente y Desarrollo Sostenible se hallaba estructurando una 4ª) Guía</w:t>
      </w:r>
      <w:r w:rsidR="00E43F91">
        <w:rPr>
          <w:lang w:val="es-MX"/>
        </w:rPr>
        <w:t>.</w:t>
      </w:r>
    </w:p>
    <w:p w:rsidR="00E43F91" w:rsidRPr="00C06BDC" w:rsidRDefault="00C06BDC" w:rsidP="00446ECB">
      <w:pPr>
        <w:pStyle w:val="Prrafodelista"/>
        <w:numPr>
          <w:ilvl w:val="0"/>
          <w:numId w:val="19"/>
        </w:numPr>
        <w:spacing w:before="120"/>
        <w:ind w:left="714" w:hanging="357"/>
        <w:contextualSpacing w:val="0"/>
        <w:rPr>
          <w:b/>
        </w:rPr>
      </w:pPr>
      <w:r w:rsidRPr="00C06BDC">
        <w:rPr>
          <w:b/>
        </w:rPr>
        <w:t xml:space="preserve">Planes </w:t>
      </w:r>
      <w:r>
        <w:rPr>
          <w:b/>
        </w:rPr>
        <w:t>d</w:t>
      </w:r>
      <w:r w:rsidRPr="00C06BDC">
        <w:rPr>
          <w:b/>
        </w:rPr>
        <w:t xml:space="preserve">e Ordenación Forestal </w:t>
      </w:r>
      <w:r>
        <w:rPr>
          <w:b/>
        </w:rPr>
        <w:t>e</w:t>
      </w:r>
      <w:r w:rsidRPr="00C06BDC">
        <w:rPr>
          <w:b/>
        </w:rPr>
        <w:t xml:space="preserve">xistentes </w:t>
      </w:r>
      <w:r>
        <w:rPr>
          <w:b/>
        </w:rPr>
        <w:t>y</w:t>
      </w:r>
      <w:r w:rsidRPr="00C06BDC">
        <w:rPr>
          <w:b/>
        </w:rPr>
        <w:t xml:space="preserve"> </w:t>
      </w:r>
      <w:r>
        <w:rPr>
          <w:b/>
        </w:rPr>
        <w:t>s</w:t>
      </w:r>
      <w:r w:rsidRPr="00C06BDC">
        <w:rPr>
          <w:b/>
        </w:rPr>
        <w:t xml:space="preserve">us </w:t>
      </w:r>
      <w:r>
        <w:rPr>
          <w:b/>
        </w:rPr>
        <w:t>características</w:t>
      </w:r>
    </w:p>
    <w:p w:rsidR="002F3AA4" w:rsidRDefault="007C5CE1" w:rsidP="00C06BDC">
      <w:pPr>
        <w:rPr>
          <w:color w:val="000000"/>
        </w:rPr>
      </w:pPr>
      <w:r>
        <w:rPr>
          <w:lang w:val="es-CO"/>
        </w:rPr>
        <w:t xml:space="preserve">Hasta el año 2015, como trabajo de </w:t>
      </w:r>
      <w:r w:rsidR="002F3AA4" w:rsidRPr="001D5EBB">
        <w:rPr>
          <w:lang w:val="es-CO"/>
        </w:rPr>
        <w:t>los útimos 15 años</w:t>
      </w:r>
      <w:r>
        <w:rPr>
          <w:lang w:val="es-CO"/>
        </w:rPr>
        <w:t>,</w:t>
      </w:r>
      <w:r w:rsidR="002F3AA4" w:rsidRPr="001D5EBB">
        <w:rPr>
          <w:lang w:val="es-CO"/>
        </w:rPr>
        <w:t xml:space="preserve"> </w:t>
      </w:r>
      <w:r w:rsidR="002F3AA4" w:rsidRPr="001D5EBB">
        <w:t>ha</w:t>
      </w:r>
      <w:r>
        <w:t>bían</w:t>
      </w:r>
      <w:r w:rsidR="002F3AA4" w:rsidRPr="001D5EBB">
        <w:t xml:space="preserve"> sido formulados o</w:t>
      </w:r>
      <w:r>
        <w:t xml:space="preserve"> estaba</w:t>
      </w:r>
      <w:r w:rsidR="002F3AA4" w:rsidRPr="001D5EBB">
        <w:t xml:space="preserve">n en proceso de formulación 77 (setenta y siete) Planes de Ordenación Forestal. La extensión del país con planes de ordenación forestal es de </w:t>
      </w:r>
      <w:r w:rsidR="001343CF" w:rsidRPr="001343CF">
        <w:rPr>
          <w:color w:val="000000"/>
        </w:rPr>
        <w:t>53.184.265,09</w:t>
      </w:r>
      <w:r w:rsidR="001343CF">
        <w:rPr>
          <w:color w:val="000000"/>
        </w:rPr>
        <w:t xml:space="preserve"> </w:t>
      </w:r>
      <w:r w:rsidR="002F3AA4" w:rsidRPr="001D5EBB">
        <w:rPr>
          <w:color w:val="000000"/>
        </w:rPr>
        <w:t>de hectáreas</w:t>
      </w:r>
      <w:r w:rsidR="002F3AA4">
        <w:rPr>
          <w:color w:val="000000"/>
        </w:rPr>
        <w:t>, con corte a septiembre de 2015.</w:t>
      </w:r>
      <w:r w:rsidR="001343CF">
        <w:rPr>
          <w:color w:val="000000"/>
        </w:rPr>
        <w:t xml:space="preserve"> </w:t>
      </w:r>
    </w:p>
    <w:p w:rsidR="007D47C0" w:rsidRDefault="00262CED" w:rsidP="00C06BDC">
      <w:r>
        <w:t xml:space="preserve">De dicha cantidad de </w:t>
      </w:r>
      <w:r w:rsidR="007D47C0">
        <w:t xml:space="preserve">77 </w:t>
      </w:r>
      <w:r w:rsidR="00C70930">
        <w:t>PGOF</w:t>
      </w:r>
      <w:r>
        <w:t>, se tiene que 19 (diecinueve) fueron adoptados mediante acto administrativo de la respectiva Corporación Regional y cubren una extensión de</w:t>
      </w:r>
      <w:r w:rsidR="0027150C">
        <w:t xml:space="preserve"> </w:t>
      </w:r>
      <w:r w:rsidRPr="00262CED">
        <w:t>11</w:t>
      </w:r>
      <w:r>
        <w:t>.</w:t>
      </w:r>
      <w:r w:rsidRPr="00262CED">
        <w:t>970</w:t>
      </w:r>
      <w:r>
        <w:t>.</w:t>
      </w:r>
      <w:r w:rsidRPr="00262CED">
        <w:t>061,64</w:t>
      </w:r>
      <w:r>
        <w:t xml:space="preserve"> hectáreas. En tanto que 3</w:t>
      </w:r>
      <w:r w:rsidR="001343CF">
        <w:t>8</w:t>
      </w:r>
      <w:r>
        <w:t xml:space="preserve"> no fueron adoptados y abarcan </w:t>
      </w:r>
      <w:r w:rsidRPr="00262CED">
        <w:t>29</w:t>
      </w:r>
      <w:r>
        <w:t>.</w:t>
      </w:r>
      <w:r w:rsidRPr="00262CED">
        <w:t>275</w:t>
      </w:r>
      <w:r>
        <w:t>.</w:t>
      </w:r>
      <w:r w:rsidRPr="00262CED">
        <w:t>620,92</w:t>
      </w:r>
      <w:r>
        <w:t xml:space="preserve"> hectáreas; mientras que dos de dichos </w:t>
      </w:r>
      <w:r w:rsidR="00C70930">
        <w:t>PGOF</w:t>
      </w:r>
      <w:r>
        <w:t xml:space="preserve"> </w:t>
      </w:r>
      <w:r w:rsidR="007D47C0">
        <w:t xml:space="preserve">están siendo actualizados y cubren una extensión de </w:t>
      </w:r>
      <w:r w:rsidRPr="00262CED">
        <w:t>3</w:t>
      </w:r>
      <w:r w:rsidR="007D47C0">
        <w:t>.</w:t>
      </w:r>
      <w:r w:rsidRPr="00262CED">
        <w:t>763</w:t>
      </w:r>
      <w:r w:rsidR="007D47C0">
        <w:t>.</w:t>
      </w:r>
      <w:r w:rsidRPr="00262CED">
        <w:t>487</w:t>
      </w:r>
      <w:r w:rsidR="007D47C0">
        <w:t xml:space="preserve"> hectáreas; finalmente, se cuenta con 12 </w:t>
      </w:r>
      <w:r w:rsidR="00C70930">
        <w:t>PGOF</w:t>
      </w:r>
      <w:r w:rsidR="007D47C0">
        <w:t xml:space="preserve"> en proceso de formulación que cubren un área de </w:t>
      </w:r>
      <w:r w:rsidR="007D47C0" w:rsidRPr="00262CED">
        <w:t>7</w:t>
      </w:r>
      <w:r w:rsidR="007D47C0">
        <w:t>.</w:t>
      </w:r>
      <w:r w:rsidR="007D47C0" w:rsidRPr="00262CED">
        <w:t>318</w:t>
      </w:r>
      <w:r w:rsidR="007D47C0">
        <w:t>.</w:t>
      </w:r>
      <w:r w:rsidR="007D47C0" w:rsidRPr="00262CED">
        <w:t>600,5</w:t>
      </w:r>
      <w:r w:rsidR="007D47C0">
        <w:t xml:space="preserve"> hectáreas. </w:t>
      </w:r>
      <w:r w:rsidR="00DE69BE">
        <w:t xml:space="preserve">De dicho total se contabiliza 6 (seis) </w:t>
      </w:r>
      <w:r w:rsidR="00C70930">
        <w:t>PGOF</w:t>
      </w:r>
      <w:r w:rsidR="00DE69BE">
        <w:t xml:space="preserve"> que se traslapan con otros planes de mayor cobertura y fueron realizados posteriormente y que los incluyeron en su extensión.</w:t>
      </w:r>
    </w:p>
    <w:p w:rsidR="002F3AA4" w:rsidRPr="004C4575" w:rsidRDefault="002F3AA4" w:rsidP="00C06BDC">
      <w:r>
        <w:t xml:space="preserve">Del mismo modo, es </w:t>
      </w:r>
      <w:r w:rsidR="007D47C0">
        <w:t>d</w:t>
      </w:r>
      <w:r>
        <w:t xml:space="preserve">e mencionar que </w:t>
      </w:r>
      <w:r w:rsidRPr="004C4575">
        <w:rPr>
          <w:color w:val="000000"/>
        </w:rPr>
        <w:t>la mayor parte de las Corporaciones Regionales del país</w:t>
      </w:r>
      <w:r>
        <w:rPr>
          <w:color w:val="000000"/>
        </w:rPr>
        <w:t xml:space="preserve"> han realizado procesos de ordenación forestal, generales o pa</w:t>
      </w:r>
      <w:r w:rsidR="007D47C0">
        <w:rPr>
          <w:color w:val="000000"/>
        </w:rPr>
        <w:t>r</w:t>
      </w:r>
      <w:r>
        <w:rPr>
          <w:color w:val="000000"/>
        </w:rPr>
        <w:t>ciales</w:t>
      </w:r>
      <w:r w:rsidRPr="004C4575">
        <w:rPr>
          <w:color w:val="000000"/>
        </w:rPr>
        <w:t>; excepto CARDIQUE, CORPAMAG, CSB</w:t>
      </w:r>
      <w:r>
        <w:rPr>
          <w:color w:val="000000"/>
        </w:rPr>
        <w:t>.</w:t>
      </w:r>
      <w:r w:rsidRPr="004C4575">
        <w:rPr>
          <w:color w:val="000000"/>
        </w:rPr>
        <w:t xml:space="preserve"> </w:t>
      </w:r>
    </w:p>
    <w:p w:rsidR="007D47C0" w:rsidRDefault="002F3AA4" w:rsidP="00C06BDC">
      <w:r w:rsidRPr="00ED2EC0">
        <w:t xml:space="preserve">Es importante resaltar que </w:t>
      </w:r>
      <w:r>
        <w:t xml:space="preserve">la mayoría </w:t>
      </w:r>
      <w:r w:rsidR="007D47C0">
        <w:t xml:space="preserve">de </w:t>
      </w:r>
      <w:r w:rsidR="007D47C0" w:rsidRPr="004C4575">
        <w:t xml:space="preserve">los </w:t>
      </w:r>
      <w:r w:rsidR="00C70930">
        <w:t>PGOF</w:t>
      </w:r>
      <w:r w:rsidR="007D47C0">
        <w:t xml:space="preserve"> ya terminados </w:t>
      </w:r>
      <w:r>
        <w:t>requieren de ser actualizados</w:t>
      </w:r>
      <w:r w:rsidR="007B1CC8">
        <w:t xml:space="preserve"> </w:t>
      </w:r>
      <w:r>
        <w:t xml:space="preserve">con base en las metodologías, los elementos conceptuales y los alcances de la Ordenación Forestal Integral y Sostenible. </w:t>
      </w:r>
    </w:p>
    <w:p w:rsidR="00DF6F3C" w:rsidRDefault="007D47C0" w:rsidP="00C06BDC">
      <w:r>
        <w:t xml:space="preserve">Por otra parte, de los 77 </w:t>
      </w:r>
      <w:r w:rsidR="00C70930">
        <w:t>PGOF</w:t>
      </w:r>
      <w:r>
        <w:t xml:space="preserve"> antes mencionados </w:t>
      </w:r>
      <w:r w:rsidR="002F3AA4">
        <w:t>se tiene que 2</w:t>
      </w:r>
      <w:r w:rsidR="00D2520B">
        <w:t>0</w:t>
      </w:r>
      <w:r w:rsidR="002F3AA4">
        <w:t xml:space="preserve"> (veint</w:t>
      </w:r>
      <w:r w:rsidR="00D2520B">
        <w:t>e</w:t>
      </w:r>
      <w:r w:rsidR="002F3AA4">
        <w:t>) son Planes Generales de Ordenación Forestal (PGOF)</w:t>
      </w:r>
      <w:r w:rsidR="00DF6F3C">
        <w:t xml:space="preserve">; que </w:t>
      </w:r>
      <w:r w:rsidR="002F3AA4">
        <w:rPr>
          <w:lang w:val="es-MX"/>
        </w:rPr>
        <w:t xml:space="preserve">corresponderían a la meta de formulación de </w:t>
      </w:r>
      <w:r w:rsidR="002F3AA4" w:rsidRPr="004C4575">
        <w:t xml:space="preserve">33 </w:t>
      </w:r>
      <w:r w:rsidR="002F3AA4">
        <w:t xml:space="preserve">(treinta y tres) </w:t>
      </w:r>
      <w:r w:rsidR="002F3AA4" w:rsidRPr="004C4575">
        <w:t>Planes Generales de Ordenación Forestal (PGOF)</w:t>
      </w:r>
      <w:r w:rsidR="002F3AA4">
        <w:t xml:space="preserve"> que para igual número de Corporaciones Regionales fue establecida en e</w:t>
      </w:r>
      <w:r w:rsidR="002F3AA4">
        <w:rPr>
          <w:lang w:val="es-MX"/>
        </w:rPr>
        <w:t xml:space="preserve">l </w:t>
      </w:r>
      <w:r w:rsidR="002F3AA4" w:rsidRPr="004C4575">
        <w:t>PNDF</w:t>
      </w:r>
      <w:r w:rsidR="002F3AA4">
        <w:rPr>
          <w:rStyle w:val="Refdenotaalpie"/>
          <w:szCs w:val="22"/>
        </w:rPr>
        <w:footnoteReference w:id="4"/>
      </w:r>
      <w:r w:rsidR="002F3AA4">
        <w:t xml:space="preserve">; </w:t>
      </w:r>
      <w:r w:rsidR="00DF6F3C">
        <w:t>mientras que los restantes son Planes Parciales de Ordenación Forestal (</w:t>
      </w:r>
      <w:r w:rsidR="00C70930">
        <w:t>PGOF</w:t>
      </w:r>
      <w:r w:rsidR="00DF6F3C">
        <w:t>).</w:t>
      </w:r>
      <w:r w:rsidR="00DF6F3C">
        <w:rPr>
          <w:rStyle w:val="Refdenotaalpie"/>
          <w:szCs w:val="22"/>
        </w:rPr>
        <w:footnoteReference w:id="5"/>
      </w:r>
    </w:p>
    <w:p w:rsidR="002F3AA4" w:rsidRDefault="00DF6F3C" w:rsidP="00C06BDC">
      <w:r>
        <w:t xml:space="preserve">Igualmente cabe destacar que los PGOF antes referidos presentan </w:t>
      </w:r>
      <w:r w:rsidR="002F3AA4">
        <w:t xml:space="preserve">las siguientes características: </w:t>
      </w:r>
    </w:p>
    <w:p w:rsidR="002F3AA4" w:rsidRPr="00C47F59" w:rsidRDefault="002F3AA4" w:rsidP="00446ECB">
      <w:pPr>
        <w:pStyle w:val="Prrafodelista"/>
        <w:numPr>
          <w:ilvl w:val="0"/>
          <w:numId w:val="20"/>
        </w:numPr>
      </w:pPr>
      <w:r w:rsidRPr="00C47F59">
        <w:t xml:space="preserve">Se requiere actualizar </w:t>
      </w:r>
      <w:r w:rsidR="00D2520B">
        <w:t>19</w:t>
      </w:r>
      <w:r w:rsidRPr="00C47F59">
        <w:t xml:space="preserve"> (</w:t>
      </w:r>
      <w:r w:rsidR="00D2520B">
        <w:t>diecinueve</w:t>
      </w:r>
      <w:r w:rsidRPr="00C47F59">
        <w:t>) de ellos</w:t>
      </w:r>
      <w:r>
        <w:rPr>
          <w:rStyle w:val="Refdenotaalpie"/>
          <w:szCs w:val="22"/>
        </w:rPr>
        <w:footnoteReference w:id="6"/>
      </w:r>
      <w:r>
        <w:t xml:space="preserve">, para que cumplan los </w:t>
      </w:r>
      <w:r w:rsidRPr="00C47F59">
        <w:t xml:space="preserve">estándares de la ordenación forestal integral y sostenible. </w:t>
      </w:r>
    </w:p>
    <w:p w:rsidR="002F3AA4" w:rsidRPr="00C47F59" w:rsidRDefault="002F3AA4" w:rsidP="00446ECB">
      <w:pPr>
        <w:pStyle w:val="Prrafodelista"/>
        <w:numPr>
          <w:ilvl w:val="0"/>
          <w:numId w:val="20"/>
        </w:numPr>
      </w:pPr>
      <w:r w:rsidRPr="00C47F59">
        <w:t xml:space="preserve">Tan solo 5 </w:t>
      </w:r>
      <w:r>
        <w:t xml:space="preserve">(cinco) </w:t>
      </w:r>
      <w:r w:rsidRPr="00C47F59">
        <w:t xml:space="preserve">reúnen una parte de </w:t>
      </w:r>
      <w:r>
        <w:t>dichos</w:t>
      </w:r>
      <w:r w:rsidRPr="00C47F59">
        <w:t xml:space="preserve"> estándares</w:t>
      </w:r>
      <w:r>
        <w:t>.</w:t>
      </w:r>
    </w:p>
    <w:p w:rsidR="002F3AA4" w:rsidRPr="00CA12B8" w:rsidRDefault="00D2520B" w:rsidP="00446ECB">
      <w:pPr>
        <w:pStyle w:val="Prrafodelista"/>
        <w:numPr>
          <w:ilvl w:val="0"/>
          <w:numId w:val="20"/>
        </w:numPr>
      </w:pPr>
      <w:r>
        <w:t>Doce</w:t>
      </w:r>
      <w:r w:rsidR="002F3AA4">
        <w:t xml:space="preserve"> (</w:t>
      </w:r>
      <w:r>
        <w:t>12</w:t>
      </w:r>
      <w:r w:rsidR="002F3AA4">
        <w:t>)</w:t>
      </w:r>
      <w:r w:rsidR="002F3AA4" w:rsidRPr="004C4575">
        <w:t xml:space="preserve"> fueron </w:t>
      </w:r>
      <w:r w:rsidR="002F3AA4">
        <w:t>elaborados</w:t>
      </w:r>
      <w:r w:rsidR="002F3AA4" w:rsidRPr="004C4575">
        <w:t xml:space="preserve"> con base en la Guía de Ordenación </w:t>
      </w:r>
      <w:r w:rsidR="002F3AA4" w:rsidRPr="00C06BDC">
        <w:rPr>
          <w:lang w:val="es-MX"/>
        </w:rPr>
        <w:t xml:space="preserve">generada en el 2002 en el marco del </w:t>
      </w:r>
      <w:r w:rsidR="002F3AA4" w:rsidRPr="004C4575">
        <w:t xml:space="preserve">PROYECTO “APLICACIÓN Y EVALUACIÓN DE CRITERIOS E INDICADORES PARA LA ORDENACIÓN SOSTENIBLE DE LOS BOSQUES NATURALES” PD 8/97, REV. 2 (F), auspiciado por la Organización Internacional de Maderas Tropicales </w:t>
      </w:r>
      <w:r w:rsidR="002F3AA4" w:rsidRPr="00C06BDC">
        <w:rPr>
          <w:lang w:val="es-MX"/>
        </w:rPr>
        <w:t xml:space="preserve">(OIMT). </w:t>
      </w:r>
    </w:p>
    <w:p w:rsidR="002F3AA4" w:rsidRPr="00CA12B8" w:rsidRDefault="002F3AA4" w:rsidP="00446ECB">
      <w:pPr>
        <w:pStyle w:val="Prrafodelista"/>
        <w:numPr>
          <w:ilvl w:val="0"/>
          <w:numId w:val="20"/>
        </w:numPr>
      </w:pPr>
      <w:r>
        <w:t xml:space="preserve">Cinco (5) </w:t>
      </w:r>
      <w:r w:rsidRPr="00C06BDC">
        <w:rPr>
          <w:lang w:val="es-MX"/>
        </w:rPr>
        <w:t xml:space="preserve">fueron construidos siguiendo la Guía de Ordenación generada en el 2007 en el marco del Convenio suscrito entre el MAVDT y CONIF. </w:t>
      </w:r>
    </w:p>
    <w:p w:rsidR="002F3AA4" w:rsidRPr="00C47F59" w:rsidRDefault="002F3AA4" w:rsidP="00446ECB">
      <w:pPr>
        <w:pStyle w:val="Prrafodelista"/>
        <w:numPr>
          <w:ilvl w:val="0"/>
          <w:numId w:val="20"/>
        </w:numPr>
      </w:pPr>
      <w:r w:rsidRPr="00C06BDC">
        <w:rPr>
          <w:lang w:val="es-MX"/>
        </w:rPr>
        <w:t xml:space="preserve">Dos (2) fueron orientados por metodologías propias o ajustadas a partir de alguna de las anteriormente mencionadas. </w:t>
      </w:r>
    </w:p>
    <w:p w:rsidR="002F3AA4" w:rsidRDefault="002F3AA4" w:rsidP="00446ECB">
      <w:pPr>
        <w:pStyle w:val="Prrafodelista"/>
        <w:numPr>
          <w:ilvl w:val="0"/>
          <w:numId w:val="20"/>
        </w:numPr>
      </w:pPr>
      <w:r w:rsidRPr="00C47F59">
        <w:lastRenderedPageBreak/>
        <w:t>Uno (1) fue formulado con base en los principios y metodologías de</w:t>
      </w:r>
      <w:r w:rsidR="007B1CC8">
        <w:t xml:space="preserve"> </w:t>
      </w:r>
      <w:r w:rsidRPr="00C47F59">
        <w:t>la Ordenación Forestal Integral y Sostenible, que es el PGOF de CORPOCHIVOR</w:t>
      </w:r>
      <w:r>
        <w:t>.</w:t>
      </w:r>
    </w:p>
    <w:p w:rsidR="002F3AA4" w:rsidRPr="00F76AF4" w:rsidRDefault="002F3AA4" w:rsidP="00446ECB">
      <w:pPr>
        <w:pStyle w:val="Prrafodelista"/>
        <w:numPr>
          <w:ilvl w:val="0"/>
          <w:numId w:val="20"/>
        </w:numPr>
      </w:pPr>
      <w:r>
        <w:t>F</w:t>
      </w:r>
      <w:r w:rsidRPr="00F76AF4">
        <w:t xml:space="preserve">ueron elaborados </w:t>
      </w:r>
      <w:r>
        <w:t>unos a escala</w:t>
      </w:r>
      <w:r w:rsidRPr="00F76AF4">
        <w:t xml:space="preserve"> general (1:50.000) </w:t>
      </w:r>
      <w:r>
        <w:t xml:space="preserve">y otros a escala </w:t>
      </w:r>
      <w:r w:rsidRPr="00F76AF4">
        <w:t>exploratoria</w:t>
      </w:r>
      <w:r w:rsidR="007B1CC8">
        <w:t xml:space="preserve"> </w:t>
      </w:r>
      <w:r w:rsidRPr="00F76AF4">
        <w:t xml:space="preserve">(1:100.000) por lo cual su implementación por cada Corporación es relativamente poco viable debido a que los productos así generados y los respectivos insumos de información no poseen el nivel de detalle para tomar decisiones de manejo con alto grado de certeza ni tampoco permiten llevar a cabo una eficiente implementación operativa de dichas decisiones. </w:t>
      </w:r>
    </w:p>
    <w:p w:rsidR="002F3AA4" w:rsidRPr="00F76AF4" w:rsidRDefault="002F3AA4" w:rsidP="00446ECB">
      <w:pPr>
        <w:pStyle w:val="Prrafodelista"/>
        <w:numPr>
          <w:ilvl w:val="0"/>
          <w:numId w:val="20"/>
        </w:numPr>
      </w:pPr>
      <w:r>
        <w:t xml:space="preserve">En la mayoría </w:t>
      </w:r>
      <w:r w:rsidRPr="00F76AF4">
        <w:t xml:space="preserve">la información de línea base sobre los componentes de fauna silvestre y socioeconomía se hizo a partir de fuentes secundarias y no tanto sobre el trabajo de campo que es inherente a la formulación de un Plan de Ordenación Forestal. </w:t>
      </w:r>
    </w:p>
    <w:p w:rsidR="002F3AA4" w:rsidRPr="00F76AF4" w:rsidRDefault="002F3AA4" w:rsidP="00446ECB">
      <w:pPr>
        <w:pStyle w:val="Prrafodelista"/>
        <w:numPr>
          <w:ilvl w:val="0"/>
          <w:numId w:val="20"/>
        </w:numPr>
      </w:pPr>
      <w:r w:rsidRPr="00F76AF4">
        <w:t>En varios de ellos no fueron generados varios indicadores biológicos,</w:t>
      </w:r>
      <w:r w:rsidR="007B1CC8">
        <w:t xml:space="preserve"> </w:t>
      </w:r>
      <w:r w:rsidRPr="00F76AF4">
        <w:t>silviculturales, dasométricos, sociales y económicos claves para la toma de decisiones en cuanto a la administración de los recursos y servicios de los ecosistemas forestales. Por esta misma circunstancia la información temática es exploratoria</w:t>
      </w:r>
      <w:r w:rsidR="007B1CC8">
        <w:t xml:space="preserve"> </w:t>
      </w:r>
      <w:r w:rsidRPr="00F76AF4">
        <w:t xml:space="preserve">y parcial. </w:t>
      </w:r>
    </w:p>
    <w:p w:rsidR="002F3AA4" w:rsidRPr="00F76AF4" w:rsidRDefault="002F3AA4" w:rsidP="00446ECB">
      <w:pPr>
        <w:pStyle w:val="Prrafodelista"/>
        <w:numPr>
          <w:ilvl w:val="0"/>
          <w:numId w:val="20"/>
        </w:numPr>
      </w:pPr>
      <w:r>
        <w:t>C</w:t>
      </w:r>
      <w:r w:rsidRPr="00F76AF4">
        <w:t>arecen de la sección sobre Régimen de Ordenación Forestal, que es esencial e inherente</w:t>
      </w:r>
      <w:r w:rsidR="007B1CC8">
        <w:t xml:space="preserve"> </w:t>
      </w:r>
      <w:r w:rsidRPr="00F76AF4">
        <w:t>a la planificación de los recursos forestales. Por esta razón, los documentos solo dan alcance parcial a los objetivos de la ordenación forestal.</w:t>
      </w:r>
    </w:p>
    <w:p w:rsidR="002F3AA4" w:rsidRPr="00F76AF4" w:rsidRDefault="002F3AA4" w:rsidP="00446ECB">
      <w:pPr>
        <w:pStyle w:val="Prrafodelista"/>
        <w:numPr>
          <w:ilvl w:val="0"/>
          <w:numId w:val="20"/>
        </w:numPr>
      </w:pPr>
      <w:r>
        <w:t>N</w:t>
      </w:r>
      <w:r w:rsidRPr="00F76AF4">
        <w:t>o muestran el Sistema de Información ni la Matriz de Decisiones sobre la cual se categorizó y trazó lineamientos</w:t>
      </w:r>
      <w:r w:rsidR="007B1CC8">
        <w:t xml:space="preserve"> </w:t>
      </w:r>
      <w:r w:rsidRPr="00F76AF4">
        <w:t>a cada una de las unidades de ordenación resultantes.</w:t>
      </w:r>
    </w:p>
    <w:p w:rsidR="002F3AA4" w:rsidRPr="00F76AF4" w:rsidRDefault="002F3AA4" w:rsidP="00446ECB">
      <w:pPr>
        <w:pStyle w:val="Prrafodelista"/>
        <w:numPr>
          <w:ilvl w:val="0"/>
          <w:numId w:val="20"/>
        </w:numPr>
      </w:pPr>
      <w:r>
        <w:t xml:space="preserve">Están enfocados a la </w:t>
      </w:r>
      <w:r w:rsidRPr="00F76AF4">
        <w:t>ordenación de los bosques, y no de las tierras de vocación forestal; pero, aun así, tan solo da</w:t>
      </w:r>
      <w:r>
        <w:t>n</w:t>
      </w:r>
      <w:r w:rsidRPr="00F76AF4">
        <w:t xml:space="preserve"> alcance parcial a los objetivos y metas que implica realizar la ordenación de los bosques.</w:t>
      </w:r>
    </w:p>
    <w:p w:rsidR="002F3AA4" w:rsidRPr="00F76AF4" w:rsidRDefault="002F3AA4" w:rsidP="00446ECB">
      <w:pPr>
        <w:pStyle w:val="Prrafodelista"/>
        <w:numPr>
          <w:ilvl w:val="0"/>
          <w:numId w:val="20"/>
        </w:numPr>
      </w:pPr>
      <w:r w:rsidRPr="00F76AF4">
        <w:t>Solo en pocos casos se evidencia si el PGOF fue socializado</w:t>
      </w:r>
      <w:r w:rsidR="007B1CC8">
        <w:t xml:space="preserve"> </w:t>
      </w:r>
      <w:r w:rsidRPr="00F76AF4">
        <w:t>y armonizado con los actores regionales, actividad esencial para que sea aprehendido y desarrollado por la Corporación con los entes territoriales, productores, sociedad</w:t>
      </w:r>
      <w:r w:rsidR="007B1CC8">
        <w:t xml:space="preserve"> </w:t>
      </w:r>
      <w:r w:rsidRPr="00F76AF4">
        <w:t>civil y demás participantes del desarrollo regional.</w:t>
      </w:r>
    </w:p>
    <w:p w:rsidR="002F3AA4" w:rsidRPr="004C4575" w:rsidRDefault="002F3AA4" w:rsidP="00446ECB">
      <w:pPr>
        <w:pStyle w:val="Prrafodelista"/>
        <w:numPr>
          <w:ilvl w:val="0"/>
          <w:numId w:val="20"/>
        </w:numPr>
      </w:pPr>
      <w:r>
        <w:t xml:space="preserve">De los 56 (cincuenta y seis) </w:t>
      </w:r>
      <w:r w:rsidR="00C70930">
        <w:t>PGOF</w:t>
      </w:r>
      <w:r>
        <w:t xml:space="preserve"> (parciales), l</w:t>
      </w:r>
      <w:r w:rsidRPr="004C4575">
        <w:t xml:space="preserve">a gran mayoría </w:t>
      </w:r>
      <w:r>
        <w:t xml:space="preserve">no cumplen o solo </w:t>
      </w:r>
      <w:r w:rsidRPr="004C4575">
        <w:t xml:space="preserve">cumplen </w:t>
      </w:r>
      <w:r>
        <w:t xml:space="preserve">parcialmente </w:t>
      </w:r>
      <w:r w:rsidRPr="004C4575">
        <w:t xml:space="preserve">con los estándares de </w:t>
      </w:r>
      <w:r>
        <w:t xml:space="preserve">la ordenación forestal integral y sostenible. Igualmente están enfocados a la ordenación del bosque y fueron elaborados siguiendo metodologías de las dos Guías precedentes u otras metodologías particulares. Incluso, en pocos casos cumplen los estándares de un </w:t>
      </w:r>
      <w:r w:rsidR="00C70930">
        <w:t>PGOF</w:t>
      </w:r>
      <w:r>
        <w:t xml:space="preserve"> para bosques.</w:t>
      </w:r>
    </w:p>
    <w:p w:rsidR="002F3AA4" w:rsidRPr="004C4575" w:rsidRDefault="002F3AA4" w:rsidP="00C06BDC">
      <w:r>
        <w:t xml:space="preserve">Por útimo, es necesario mencionar que los </w:t>
      </w:r>
      <w:r w:rsidR="00C70930">
        <w:t>PGOF</w:t>
      </w:r>
      <w:r>
        <w:t xml:space="preserve"> hasta ahora generados </w:t>
      </w:r>
      <w:r w:rsidRPr="004C4575">
        <w:t xml:space="preserve">no tienen una tipología única o común. </w:t>
      </w:r>
      <w:r w:rsidR="00875E5A">
        <w:t>A</w:t>
      </w:r>
      <w:r w:rsidRPr="004C4575">
        <w:t xml:space="preserve">lgunos fueron formulados al nivel de Cuenca Hidrográfica, otros para un </w:t>
      </w:r>
      <w:r w:rsidR="00194D94">
        <w:t>municipio o grupo de municipios</w:t>
      </w:r>
      <w:r w:rsidRPr="004C4575">
        <w:t>, otros para la jurisdicción de un Ente territorial, otros para toda la jurisdicción de una Corporación Regional y otros para una región dada o para una Subzona hidrográfica</w:t>
      </w:r>
      <w:r w:rsidR="000A651B">
        <w:t>, entre otros casos</w:t>
      </w:r>
      <w:r w:rsidR="00C06BDC">
        <w:t>.</w:t>
      </w:r>
    </w:p>
    <w:p w:rsidR="006D1EF9" w:rsidRPr="004C11C4" w:rsidRDefault="00A4749D" w:rsidP="00C06BDC">
      <w:pPr>
        <w:pStyle w:val="Ttulo1"/>
      </w:pPr>
      <w:bookmarkStart w:id="5" w:name="_Toc23137155"/>
      <w:r w:rsidRPr="00C21852">
        <w:t>2</w:t>
      </w:r>
      <w:r w:rsidR="006D1EF9" w:rsidRPr="00C21852">
        <w:t>. EL CONCEPTO DE ORDENACIÓN FORESTAL INTEGRAL Y SOSTENIBLE</w:t>
      </w:r>
      <w:bookmarkEnd w:id="5"/>
    </w:p>
    <w:p w:rsidR="006D1EF9" w:rsidRDefault="006D1EF9" w:rsidP="00C06BDC">
      <w:pPr>
        <w:rPr>
          <w:rStyle w:val="nfasis"/>
          <w:rFonts w:eastAsia="Calibri"/>
          <w:szCs w:val="22"/>
        </w:rPr>
      </w:pPr>
      <w:r w:rsidRPr="005808D1">
        <w:rPr>
          <w:lang w:val="es-CO"/>
        </w:rPr>
        <w:t>En el marco de la presente Guía, la Ordenación Forestal Integral y Sostenible se conceptualiza como: El proceso regional de planificación estratégica, a escala semidetallada, de las tierras de vocación forestal</w:t>
      </w:r>
      <w:r w:rsidR="006F338A">
        <w:rPr>
          <w:lang w:val="es-CO"/>
        </w:rPr>
        <w:t xml:space="preserve"> y agroforestal</w:t>
      </w:r>
      <w:r w:rsidRPr="005808D1">
        <w:rPr>
          <w:lang w:val="es-CO"/>
        </w:rPr>
        <w:t>, posean o no su cobertura natural, aplicando los enfoques ecosistémico y sociosistémico</w:t>
      </w:r>
      <w:r w:rsidRPr="005808D1">
        <w:rPr>
          <w:rStyle w:val="Refdenotaalpie"/>
          <w:i/>
          <w:szCs w:val="22"/>
          <w:lang w:val="es-CO"/>
        </w:rPr>
        <w:footnoteReference w:id="7"/>
      </w:r>
      <w:r w:rsidRPr="005808D1">
        <w:rPr>
          <w:lang w:val="es-CO"/>
        </w:rPr>
        <w:t>,</w:t>
      </w:r>
      <w:r w:rsidR="007B1CC8">
        <w:rPr>
          <w:lang w:val="es-CO"/>
        </w:rPr>
        <w:t xml:space="preserve"> </w:t>
      </w:r>
      <w:r w:rsidRPr="005808D1">
        <w:rPr>
          <w:lang w:val="es-CO"/>
        </w:rPr>
        <w:t>con el fin de</w:t>
      </w:r>
      <w:r w:rsidR="007B1CC8">
        <w:rPr>
          <w:lang w:val="es-CO"/>
        </w:rPr>
        <w:t xml:space="preserve"> </w:t>
      </w:r>
      <w:r w:rsidRPr="005808D1">
        <w:rPr>
          <w:lang w:val="es-CO"/>
        </w:rPr>
        <w:t>promover la preservación, la conservación y el uso sostenible de sus recursos y servicios conexos</w:t>
      </w:r>
      <w:r w:rsidR="007C5CE1">
        <w:rPr>
          <w:rStyle w:val="Refdenotaalpie"/>
          <w:i/>
          <w:szCs w:val="22"/>
          <w:lang w:val="es-CO"/>
        </w:rPr>
        <w:footnoteReference w:id="8"/>
      </w:r>
      <w:r w:rsidRPr="005808D1">
        <w:rPr>
          <w:rStyle w:val="nfasis"/>
          <w:rFonts w:eastAsia="Calibri"/>
          <w:szCs w:val="22"/>
        </w:rPr>
        <w:t>.</w:t>
      </w:r>
    </w:p>
    <w:p w:rsidR="006D1EF9" w:rsidRPr="00FA175F" w:rsidRDefault="006F338A" w:rsidP="00C06BDC">
      <w:pPr>
        <w:rPr>
          <w:rFonts w:cs="Arial"/>
        </w:rPr>
      </w:pPr>
      <w:r>
        <w:rPr>
          <w:rFonts w:cs="Arial"/>
          <w:lang w:val="es-CO" w:eastAsia="en-US"/>
        </w:rPr>
        <w:t>Igualmente, e</w:t>
      </w:r>
      <w:r w:rsidR="006D1EF9">
        <w:rPr>
          <w:rFonts w:cs="Arial"/>
          <w:lang w:val="es-CO" w:eastAsia="en-US"/>
        </w:rPr>
        <w:t xml:space="preserve">l Plan </w:t>
      </w:r>
      <w:r w:rsidR="00A14CB5">
        <w:rPr>
          <w:rFonts w:cs="Arial"/>
          <w:lang w:val="es-CO" w:eastAsia="en-US"/>
        </w:rPr>
        <w:t xml:space="preserve">General </w:t>
      </w:r>
      <w:r w:rsidR="006D1EF9">
        <w:rPr>
          <w:rFonts w:cs="Arial"/>
          <w:lang w:val="es-CO" w:eastAsia="en-US"/>
        </w:rPr>
        <w:t>de Ordenación F</w:t>
      </w:r>
      <w:r w:rsidR="006D1EF9" w:rsidRPr="00FA175F">
        <w:rPr>
          <w:rFonts w:cs="Arial"/>
          <w:lang w:val="es-CO" w:eastAsia="en-US"/>
        </w:rPr>
        <w:t xml:space="preserve">orestal </w:t>
      </w:r>
      <w:r w:rsidR="006D1EF9">
        <w:rPr>
          <w:rFonts w:cs="Arial"/>
          <w:lang w:val="es-CO" w:eastAsia="en-US"/>
        </w:rPr>
        <w:t>(</w:t>
      </w:r>
      <w:r w:rsidR="006D1EF9" w:rsidRPr="00FA175F">
        <w:rPr>
          <w:rFonts w:cs="Arial"/>
          <w:lang w:val="es-CO" w:eastAsia="en-US"/>
        </w:rPr>
        <w:t>P</w:t>
      </w:r>
      <w:r w:rsidR="00A14CB5">
        <w:rPr>
          <w:rFonts w:cs="Arial"/>
          <w:lang w:val="es-CO" w:eastAsia="en-US"/>
        </w:rPr>
        <w:t>G</w:t>
      </w:r>
      <w:r w:rsidR="006D1EF9" w:rsidRPr="00FA175F">
        <w:rPr>
          <w:rFonts w:cs="Arial"/>
          <w:lang w:val="es-CO" w:eastAsia="en-US"/>
        </w:rPr>
        <w:t>OF</w:t>
      </w:r>
      <w:r w:rsidR="006D1EF9">
        <w:rPr>
          <w:rFonts w:cs="Arial"/>
          <w:lang w:val="es-CO" w:eastAsia="en-US"/>
        </w:rPr>
        <w:t>)</w:t>
      </w:r>
      <w:r w:rsidR="006D1EF9" w:rsidRPr="00FA175F">
        <w:rPr>
          <w:rFonts w:cs="Arial"/>
          <w:lang w:val="es-CO" w:eastAsia="en-US"/>
        </w:rPr>
        <w:t xml:space="preserve"> </w:t>
      </w:r>
      <w:r>
        <w:rPr>
          <w:rFonts w:cs="Arial"/>
          <w:lang w:val="es-CO" w:eastAsia="en-US"/>
        </w:rPr>
        <w:t xml:space="preserve">se concibe como: </w:t>
      </w:r>
      <w:r w:rsidRPr="006F338A">
        <w:rPr>
          <w:rFonts w:cs="Arial"/>
          <w:lang w:val="es-CO" w:eastAsia="en-US"/>
        </w:rPr>
        <w:t>E</w:t>
      </w:r>
      <w:r w:rsidR="006D1EF9" w:rsidRPr="006F338A">
        <w:rPr>
          <w:rFonts w:cs="Arial"/>
          <w:lang w:val="es-CO" w:eastAsia="en-US"/>
        </w:rPr>
        <w:t xml:space="preserve">l instrumento de planificación estratégica para la toma de decisiones y la gestión de las tierras forestales y sus recursos y servicios </w:t>
      </w:r>
      <w:r w:rsidR="00A14CB5" w:rsidRPr="006F338A">
        <w:rPr>
          <w:rFonts w:cs="Arial"/>
          <w:lang w:val="es-CO" w:eastAsia="en-US"/>
        </w:rPr>
        <w:t>conexos por parte de las Autoridades Ambientales Regionales en su jurisdicción.</w:t>
      </w:r>
      <w:r w:rsidR="006D1EF9" w:rsidRPr="006F338A">
        <w:rPr>
          <w:rFonts w:cs="Arial"/>
          <w:lang w:val="es-CO" w:eastAsia="en-US"/>
        </w:rPr>
        <w:t xml:space="preserve"> </w:t>
      </w:r>
      <w:r w:rsidR="00A14CB5" w:rsidRPr="006F338A">
        <w:rPr>
          <w:rFonts w:cs="Arial"/>
        </w:rPr>
        <w:t xml:space="preserve">El </w:t>
      </w:r>
      <w:r w:rsidR="006D1EF9" w:rsidRPr="006F338A">
        <w:rPr>
          <w:rFonts w:cs="Arial"/>
        </w:rPr>
        <w:t>P</w:t>
      </w:r>
      <w:r w:rsidR="00A14CB5" w:rsidRPr="006F338A">
        <w:rPr>
          <w:rFonts w:cs="Arial"/>
        </w:rPr>
        <w:t>G</w:t>
      </w:r>
      <w:r w:rsidR="006D1EF9" w:rsidRPr="006F338A">
        <w:rPr>
          <w:rFonts w:cs="Arial"/>
        </w:rPr>
        <w:t>OF se enmarca dentro de los procesos de ordenamiento territorial</w:t>
      </w:r>
      <w:r w:rsidR="00A14CB5" w:rsidRPr="006F338A">
        <w:rPr>
          <w:rFonts w:cs="Arial"/>
        </w:rPr>
        <w:t>;</w:t>
      </w:r>
      <w:r w:rsidR="006D1EF9" w:rsidRPr="006F338A">
        <w:rPr>
          <w:rFonts w:cs="Arial"/>
        </w:rPr>
        <w:t xml:space="preserve"> por lo cual las instituciones públicas</w:t>
      </w:r>
      <w:r w:rsidR="00A14CB5" w:rsidRPr="006F338A">
        <w:rPr>
          <w:rFonts w:cs="Arial"/>
        </w:rPr>
        <w:t>,</w:t>
      </w:r>
      <w:r w:rsidR="006D1EF9" w:rsidRPr="006F338A">
        <w:rPr>
          <w:rFonts w:cs="Arial"/>
        </w:rPr>
        <w:t xml:space="preserve"> en especial las que integran el Sistema Nacional </w:t>
      </w:r>
      <w:r w:rsidR="006D1EF9" w:rsidRPr="006F338A">
        <w:rPr>
          <w:rFonts w:cs="Arial"/>
        </w:rPr>
        <w:lastRenderedPageBreak/>
        <w:t>ambiental (SINA)</w:t>
      </w:r>
      <w:r w:rsidR="00A14CB5" w:rsidRPr="006F338A">
        <w:rPr>
          <w:rFonts w:cs="Arial"/>
        </w:rPr>
        <w:t xml:space="preserve">, así como los entes </w:t>
      </w:r>
      <w:r w:rsidR="006D1EF9" w:rsidRPr="006F338A">
        <w:rPr>
          <w:rFonts w:cs="Arial"/>
        </w:rPr>
        <w:t>privad</w:t>
      </w:r>
      <w:r w:rsidR="00A14CB5" w:rsidRPr="006F338A">
        <w:rPr>
          <w:rFonts w:cs="Arial"/>
        </w:rPr>
        <w:t>o</w:t>
      </w:r>
      <w:r w:rsidR="006D1EF9" w:rsidRPr="006F338A">
        <w:rPr>
          <w:rFonts w:cs="Arial"/>
        </w:rPr>
        <w:t>s</w:t>
      </w:r>
      <w:r w:rsidR="00A14CB5" w:rsidRPr="006F338A">
        <w:rPr>
          <w:rFonts w:cs="Arial"/>
        </w:rPr>
        <w:t xml:space="preserve"> </w:t>
      </w:r>
      <w:r w:rsidR="006D1EF9" w:rsidRPr="006F338A">
        <w:rPr>
          <w:rFonts w:cs="Arial"/>
        </w:rPr>
        <w:t xml:space="preserve">asumen compromisos inherentes a la </w:t>
      </w:r>
      <w:r w:rsidR="00A14CB5" w:rsidRPr="006F338A">
        <w:rPr>
          <w:rFonts w:cs="Arial"/>
        </w:rPr>
        <w:t xml:space="preserve">implementación efectiva de la ordenación y </w:t>
      </w:r>
      <w:r w:rsidR="006D1EF9" w:rsidRPr="006F338A">
        <w:rPr>
          <w:rFonts w:cs="Arial"/>
        </w:rPr>
        <w:t>el manejo</w:t>
      </w:r>
      <w:r w:rsidR="00A14CB5" w:rsidRPr="006F338A">
        <w:rPr>
          <w:rFonts w:cs="Arial"/>
        </w:rPr>
        <w:t xml:space="preserve"> de las tierras forestales</w:t>
      </w:r>
      <w:r w:rsidR="00A14CB5">
        <w:rPr>
          <w:rFonts w:cs="Arial"/>
        </w:rPr>
        <w:t>.</w:t>
      </w:r>
    </w:p>
    <w:p w:rsidR="006D1EF9" w:rsidRPr="00FA175F" w:rsidRDefault="006D1EF9" w:rsidP="00C06BDC">
      <w:pPr>
        <w:rPr>
          <w:rFonts w:cs="Arial"/>
        </w:rPr>
      </w:pPr>
      <w:r w:rsidRPr="00FA175F">
        <w:rPr>
          <w:rFonts w:cs="Arial"/>
        </w:rPr>
        <w:t xml:space="preserve">La </w:t>
      </w:r>
      <w:r w:rsidR="00A14CB5">
        <w:rPr>
          <w:rFonts w:cs="Arial"/>
        </w:rPr>
        <w:t>formulación e implementación</w:t>
      </w:r>
      <w:r w:rsidRPr="00FA175F">
        <w:rPr>
          <w:rFonts w:cs="Arial"/>
        </w:rPr>
        <w:t xml:space="preserve"> de los Planes </w:t>
      </w:r>
      <w:r w:rsidR="00A14CB5">
        <w:rPr>
          <w:rFonts w:cs="Arial"/>
        </w:rPr>
        <w:t xml:space="preserve">Generales </w:t>
      </w:r>
      <w:r w:rsidRPr="00FA175F">
        <w:rPr>
          <w:rFonts w:cs="Arial"/>
        </w:rPr>
        <w:t>de Ordenación Forestal implica</w:t>
      </w:r>
      <w:r w:rsidR="00A14CB5">
        <w:rPr>
          <w:rFonts w:cs="Arial"/>
        </w:rPr>
        <w:t>n</w:t>
      </w:r>
      <w:r w:rsidRPr="00FA175F">
        <w:rPr>
          <w:rFonts w:cs="Arial"/>
        </w:rPr>
        <w:t xml:space="preserve"> la ejecución de actividades científicas y tecnológicas, toda vez que se requiere conocer en </w:t>
      </w:r>
      <w:r>
        <w:rPr>
          <w:rFonts w:cs="Arial"/>
        </w:rPr>
        <w:t>escala semidetallada</w:t>
      </w:r>
      <w:r w:rsidRPr="00FA175F">
        <w:rPr>
          <w:rFonts w:cs="Arial"/>
        </w:rPr>
        <w:t xml:space="preserve"> la</w:t>
      </w:r>
      <w:r>
        <w:rPr>
          <w:rFonts w:cs="Arial"/>
        </w:rPr>
        <w:t>s características y la situación de las tierras forestales</w:t>
      </w:r>
      <w:r w:rsidRPr="00FA175F">
        <w:rPr>
          <w:rFonts w:cs="Arial"/>
        </w:rPr>
        <w:t>, sus componentes</w:t>
      </w:r>
      <w:r>
        <w:rPr>
          <w:rFonts w:cs="Arial"/>
        </w:rPr>
        <w:t xml:space="preserve"> bióticos y abióticos</w:t>
      </w:r>
      <w:r w:rsidRPr="00FA175F">
        <w:rPr>
          <w:rFonts w:cs="Arial"/>
        </w:rPr>
        <w:t xml:space="preserve">, </w:t>
      </w:r>
      <w:r>
        <w:rPr>
          <w:rFonts w:cs="Arial"/>
        </w:rPr>
        <w:t>su problemática ambiental y</w:t>
      </w:r>
      <w:r w:rsidRPr="00FA175F">
        <w:rPr>
          <w:rFonts w:cs="Arial"/>
        </w:rPr>
        <w:t xml:space="preserve"> soci</w:t>
      </w:r>
      <w:r>
        <w:rPr>
          <w:rFonts w:cs="Arial"/>
        </w:rPr>
        <w:t>oeconómica</w:t>
      </w:r>
      <w:r w:rsidR="007B1CC8">
        <w:rPr>
          <w:rFonts w:cs="Arial"/>
        </w:rPr>
        <w:t xml:space="preserve"> </w:t>
      </w:r>
      <w:r>
        <w:rPr>
          <w:rFonts w:cs="Arial"/>
        </w:rPr>
        <w:t xml:space="preserve">sus </w:t>
      </w:r>
      <w:r w:rsidRPr="00FA175F">
        <w:rPr>
          <w:rFonts w:cs="Arial"/>
        </w:rPr>
        <w:t>potencialidades;</w:t>
      </w:r>
      <w:r w:rsidR="007B1CC8">
        <w:rPr>
          <w:rFonts w:cs="Arial"/>
        </w:rPr>
        <w:t xml:space="preserve"> </w:t>
      </w:r>
      <w:r w:rsidRPr="00FA175F">
        <w:rPr>
          <w:rFonts w:cs="Arial"/>
        </w:rPr>
        <w:t>y para ello se debe</w:t>
      </w:r>
      <w:r w:rsidR="007B1CC8">
        <w:rPr>
          <w:rFonts w:cs="Arial"/>
        </w:rPr>
        <w:t xml:space="preserve"> </w:t>
      </w:r>
      <w:r w:rsidRPr="00FA175F">
        <w:rPr>
          <w:rFonts w:cs="Arial"/>
        </w:rPr>
        <w:t xml:space="preserve">realizar una línea base ambiental la cual incluye elaboración de investigaciones en vegetación, fauna, su interrelación propia y con otros recursos; igualmente </w:t>
      </w:r>
      <w:r>
        <w:rPr>
          <w:rFonts w:cs="Arial"/>
        </w:rPr>
        <w:t xml:space="preserve">conlleva a </w:t>
      </w:r>
      <w:r w:rsidRPr="00FA175F">
        <w:rPr>
          <w:rFonts w:cs="Arial"/>
        </w:rPr>
        <w:t xml:space="preserve">conocer la situación socioeconómica de los habitantes y actores en general que tienen relación con el ecosistema. </w:t>
      </w:r>
      <w:r w:rsidRPr="0009678A">
        <w:rPr>
          <w:rFonts w:cs="Arial"/>
        </w:rPr>
        <w:t>Lo anterior</w:t>
      </w:r>
      <w:r w:rsidR="007B1CC8">
        <w:rPr>
          <w:rFonts w:cs="Arial"/>
        </w:rPr>
        <w:t xml:space="preserve"> </w:t>
      </w:r>
      <w:r w:rsidRPr="0009678A">
        <w:rPr>
          <w:rFonts w:cs="Arial"/>
        </w:rPr>
        <w:t>conduce a la necesidad de implementar una metodología de investigación específica para cada componente y responder a unas normas establecidas en términos de tratamiento y análisis de la información. De la aplicación estricta y el análisis de los datos obteni</w:t>
      </w:r>
      <w:r w:rsidR="006F338A">
        <w:rPr>
          <w:rFonts w:cs="Arial"/>
        </w:rPr>
        <w:t>dos en campo se debe obtener un</w:t>
      </w:r>
      <w:r w:rsidRPr="0009678A">
        <w:rPr>
          <w:rFonts w:cs="Arial"/>
        </w:rPr>
        <w:t>o</w:t>
      </w:r>
      <w:r w:rsidR="006F338A">
        <w:rPr>
          <w:rFonts w:cs="Arial"/>
        </w:rPr>
        <w:t>s</w:t>
      </w:r>
      <w:r w:rsidRPr="0009678A">
        <w:rPr>
          <w:rFonts w:cs="Arial"/>
        </w:rPr>
        <w:t xml:space="preserve"> producto</w:t>
      </w:r>
      <w:r w:rsidR="006F338A">
        <w:rPr>
          <w:rFonts w:cs="Arial"/>
        </w:rPr>
        <w:t>s</w:t>
      </w:r>
      <w:r w:rsidR="007B1CC8">
        <w:rPr>
          <w:rFonts w:cs="Arial"/>
        </w:rPr>
        <w:t xml:space="preserve"> </w:t>
      </w:r>
      <w:r w:rsidRPr="0009678A">
        <w:rPr>
          <w:rFonts w:cs="Arial"/>
        </w:rPr>
        <w:t>que</w:t>
      </w:r>
      <w:r w:rsidR="006F338A">
        <w:rPr>
          <w:rFonts w:cs="Arial"/>
        </w:rPr>
        <w:t>,</w:t>
      </w:r>
      <w:r w:rsidRPr="0009678A">
        <w:rPr>
          <w:rFonts w:cs="Arial"/>
        </w:rPr>
        <w:t xml:space="preserve"> en su conjunto</w:t>
      </w:r>
      <w:r w:rsidR="006F338A">
        <w:rPr>
          <w:rFonts w:cs="Arial"/>
        </w:rPr>
        <w:t>,</w:t>
      </w:r>
      <w:r w:rsidRPr="0009678A">
        <w:rPr>
          <w:rFonts w:cs="Arial"/>
        </w:rPr>
        <w:t xml:space="preserve"> conforman un instrumento real de planificación que permit</w:t>
      </w:r>
      <w:r w:rsidR="006F338A">
        <w:rPr>
          <w:rFonts w:cs="Arial"/>
        </w:rPr>
        <w:t>irá</w:t>
      </w:r>
      <w:r w:rsidRPr="0009678A">
        <w:rPr>
          <w:rFonts w:cs="Arial"/>
        </w:rPr>
        <w:t xml:space="preserve"> al administrador tomar decisiones ajustadas al estado real, problemática y potencialidades del territorio.</w:t>
      </w:r>
    </w:p>
    <w:p w:rsidR="006D1EF9" w:rsidRPr="00A14B4E" w:rsidRDefault="006F338A" w:rsidP="00C06BDC">
      <w:pPr>
        <w:rPr>
          <w:rFonts w:cs="Arial"/>
        </w:rPr>
      </w:pPr>
      <w:r>
        <w:rPr>
          <w:rFonts w:cs="Arial"/>
        </w:rPr>
        <w:t xml:space="preserve">Igualmente se tiene los </w:t>
      </w:r>
      <w:r w:rsidR="006D1EF9" w:rsidRPr="00A14B4E">
        <w:rPr>
          <w:rFonts w:cs="Arial"/>
        </w:rPr>
        <w:t xml:space="preserve">siguientes </w:t>
      </w:r>
      <w:r w:rsidR="003A2F6B" w:rsidRPr="003A2F6B">
        <w:rPr>
          <w:rFonts w:cs="Arial"/>
          <w:u w:val="single"/>
        </w:rPr>
        <w:t>principios</w:t>
      </w:r>
      <w:r>
        <w:rPr>
          <w:rFonts w:cs="Arial"/>
          <w:u w:val="single"/>
        </w:rPr>
        <w:t xml:space="preserve"> de la ordenación forestal integral y sostenible</w:t>
      </w:r>
      <w:r>
        <w:rPr>
          <w:rFonts w:cs="Arial"/>
        </w:rPr>
        <w:t>, que resultan</w:t>
      </w:r>
      <w:r w:rsidR="006D1EF9" w:rsidRPr="00A14B4E">
        <w:rPr>
          <w:rFonts w:cs="Arial"/>
        </w:rPr>
        <w:t xml:space="preserve"> determinantes en todas las etapas de concepción, formulación, </w:t>
      </w:r>
      <w:r>
        <w:rPr>
          <w:rFonts w:cs="Arial"/>
        </w:rPr>
        <w:t xml:space="preserve">implementación, </w:t>
      </w:r>
      <w:r w:rsidR="006D1EF9" w:rsidRPr="00A14B4E">
        <w:rPr>
          <w:rFonts w:cs="Arial"/>
        </w:rPr>
        <w:t>evaluación y seguimiento del P</w:t>
      </w:r>
      <w:r w:rsidR="00A14CB5">
        <w:rPr>
          <w:rFonts w:cs="Arial"/>
        </w:rPr>
        <w:t>GOF:</w:t>
      </w:r>
    </w:p>
    <w:p w:rsidR="006D1EF9" w:rsidRPr="00A14B4E" w:rsidRDefault="003A2F6B" w:rsidP="00306207">
      <w:pPr>
        <w:numPr>
          <w:ilvl w:val="0"/>
          <w:numId w:val="6"/>
        </w:numPr>
        <w:suppressAutoHyphens/>
        <w:rPr>
          <w:rFonts w:cs="Arial"/>
          <w:szCs w:val="22"/>
        </w:rPr>
      </w:pPr>
      <w:r w:rsidRPr="001426FD">
        <w:rPr>
          <w:rFonts w:cs="Arial"/>
          <w:szCs w:val="22"/>
        </w:rPr>
        <w:t>El Plan</w:t>
      </w:r>
      <w:r w:rsidR="007B1CC8">
        <w:rPr>
          <w:rFonts w:cs="Arial"/>
          <w:szCs w:val="22"/>
        </w:rPr>
        <w:t xml:space="preserve"> </w:t>
      </w:r>
      <w:r w:rsidRPr="001426FD">
        <w:rPr>
          <w:rFonts w:cs="Arial"/>
          <w:szCs w:val="22"/>
        </w:rPr>
        <w:t>de Ordenación Forestal</w:t>
      </w:r>
      <w:r w:rsidRPr="00A14B4E">
        <w:rPr>
          <w:rFonts w:cs="Arial"/>
          <w:szCs w:val="22"/>
        </w:rPr>
        <w:t xml:space="preserve"> </w:t>
      </w:r>
      <w:r w:rsidR="006D1EF9" w:rsidRPr="00A14B4E">
        <w:rPr>
          <w:rFonts w:cs="Arial"/>
          <w:szCs w:val="22"/>
        </w:rPr>
        <w:t xml:space="preserve">es un instrumento </w:t>
      </w:r>
      <w:r>
        <w:rPr>
          <w:rFonts w:cs="Arial"/>
          <w:szCs w:val="22"/>
        </w:rPr>
        <w:t xml:space="preserve">de apoyo para </w:t>
      </w:r>
      <w:r w:rsidR="006D1EF9" w:rsidRPr="00A14B4E">
        <w:rPr>
          <w:rFonts w:cs="Arial"/>
          <w:szCs w:val="22"/>
        </w:rPr>
        <w:t>gestionar y promover el desarrollo socioeconómico nacional, regional y local, con base en el uso y la conservación de sus ecosistemas forestales.</w:t>
      </w:r>
    </w:p>
    <w:p w:rsidR="006D1EF9" w:rsidRPr="003A2F6B" w:rsidRDefault="006D1EF9" w:rsidP="00306207">
      <w:pPr>
        <w:numPr>
          <w:ilvl w:val="0"/>
          <w:numId w:val="6"/>
        </w:numPr>
        <w:rPr>
          <w:rFonts w:cs="Arial"/>
          <w:szCs w:val="22"/>
        </w:rPr>
      </w:pPr>
      <w:r w:rsidRPr="003A2F6B">
        <w:rPr>
          <w:rFonts w:cs="Arial"/>
          <w:szCs w:val="22"/>
        </w:rPr>
        <w:t>Los ecosistemas forestales y la biodiversidad</w:t>
      </w:r>
      <w:r w:rsidR="003A2F6B">
        <w:rPr>
          <w:rFonts w:cs="Arial"/>
          <w:szCs w:val="22"/>
        </w:rPr>
        <w:t xml:space="preserve"> </w:t>
      </w:r>
      <w:r w:rsidRPr="003A2F6B">
        <w:rPr>
          <w:rFonts w:cs="Arial"/>
          <w:szCs w:val="22"/>
        </w:rPr>
        <w:t>son elementos inseparab</w:t>
      </w:r>
      <w:r w:rsidR="006F338A">
        <w:rPr>
          <w:rFonts w:cs="Arial"/>
          <w:szCs w:val="22"/>
        </w:rPr>
        <w:t xml:space="preserve">les e indisolubles; del mismo modo que </w:t>
      </w:r>
      <w:r w:rsidRPr="003A2F6B">
        <w:rPr>
          <w:rFonts w:cs="Arial"/>
          <w:szCs w:val="22"/>
        </w:rPr>
        <w:t>la biodiversidad forma parte integral de los bosques naturales</w:t>
      </w:r>
      <w:r w:rsidR="003A2F6B">
        <w:rPr>
          <w:rFonts w:cs="Arial"/>
          <w:szCs w:val="22"/>
        </w:rPr>
        <w:t xml:space="preserve"> y </w:t>
      </w:r>
      <w:r w:rsidR="006F338A">
        <w:rPr>
          <w:rFonts w:cs="Arial"/>
          <w:szCs w:val="22"/>
        </w:rPr>
        <w:t xml:space="preserve">que </w:t>
      </w:r>
      <w:r w:rsidR="003A2F6B">
        <w:rPr>
          <w:rFonts w:cs="Arial"/>
          <w:szCs w:val="22"/>
        </w:rPr>
        <w:t>estos son parte de la biodiversidad</w:t>
      </w:r>
      <w:r w:rsidRPr="003A2F6B">
        <w:rPr>
          <w:rFonts w:cs="Arial"/>
          <w:szCs w:val="22"/>
        </w:rPr>
        <w:t>.</w:t>
      </w:r>
    </w:p>
    <w:p w:rsidR="003A2F6B" w:rsidRDefault="003A2F6B" w:rsidP="00306207">
      <w:pPr>
        <w:numPr>
          <w:ilvl w:val="0"/>
          <w:numId w:val="6"/>
        </w:numPr>
        <w:suppressAutoHyphens/>
        <w:rPr>
          <w:rFonts w:cs="Arial"/>
          <w:szCs w:val="22"/>
        </w:rPr>
      </w:pPr>
      <w:r>
        <w:rPr>
          <w:rFonts w:cs="Arial"/>
          <w:szCs w:val="22"/>
        </w:rPr>
        <w:t>Se requiere que e</w:t>
      </w:r>
      <w:r w:rsidR="006D1EF9" w:rsidRPr="00293B5F">
        <w:rPr>
          <w:rFonts w:cs="Arial"/>
          <w:szCs w:val="22"/>
        </w:rPr>
        <w:t xml:space="preserve">l </w:t>
      </w:r>
      <w:r w:rsidR="006F338A" w:rsidRPr="001426FD">
        <w:rPr>
          <w:rFonts w:cs="Arial"/>
          <w:szCs w:val="22"/>
        </w:rPr>
        <w:t>Plan</w:t>
      </w:r>
      <w:r w:rsidR="007B1CC8">
        <w:rPr>
          <w:rFonts w:cs="Arial"/>
          <w:szCs w:val="22"/>
        </w:rPr>
        <w:t xml:space="preserve"> </w:t>
      </w:r>
      <w:r w:rsidR="006F338A" w:rsidRPr="001426FD">
        <w:rPr>
          <w:rFonts w:cs="Arial"/>
          <w:szCs w:val="22"/>
        </w:rPr>
        <w:t>de Ordenación Forestal</w:t>
      </w:r>
      <w:r w:rsidR="006D1EF9" w:rsidRPr="00293B5F">
        <w:rPr>
          <w:rFonts w:cs="Arial"/>
          <w:szCs w:val="22"/>
        </w:rPr>
        <w:t xml:space="preserve"> sea aprehendido</w:t>
      </w:r>
      <w:r w:rsidR="00956DF3">
        <w:rPr>
          <w:rFonts w:cs="Arial"/>
          <w:szCs w:val="22"/>
        </w:rPr>
        <w:t>,</w:t>
      </w:r>
      <w:r w:rsidR="006D1EF9" w:rsidRPr="00293B5F">
        <w:rPr>
          <w:rFonts w:cs="Arial"/>
          <w:szCs w:val="22"/>
        </w:rPr>
        <w:t xml:space="preserve"> adoptado </w:t>
      </w:r>
      <w:r w:rsidR="00956DF3">
        <w:rPr>
          <w:rFonts w:cs="Arial"/>
          <w:szCs w:val="22"/>
        </w:rPr>
        <w:t>y compartido mediante el compromiso de las</w:t>
      </w:r>
      <w:r w:rsidR="006D1EF9" w:rsidRPr="00293B5F">
        <w:rPr>
          <w:rFonts w:cs="Arial"/>
          <w:szCs w:val="22"/>
        </w:rPr>
        <w:t xml:space="preserve"> instituciones gubernamentales, las organizaciones </w:t>
      </w:r>
      <w:r>
        <w:rPr>
          <w:rFonts w:cs="Arial"/>
          <w:szCs w:val="22"/>
        </w:rPr>
        <w:t>comunitarias, los campesinos y colonos</w:t>
      </w:r>
      <w:r w:rsidR="00956DF3">
        <w:rPr>
          <w:rFonts w:cs="Arial"/>
          <w:szCs w:val="22"/>
        </w:rPr>
        <w:t>, los productores</w:t>
      </w:r>
      <w:r>
        <w:rPr>
          <w:rFonts w:cs="Arial"/>
          <w:szCs w:val="22"/>
        </w:rPr>
        <w:t xml:space="preserve"> y los entes territoriales.</w:t>
      </w:r>
      <w:r w:rsidR="006D1EF9" w:rsidRPr="00293B5F">
        <w:rPr>
          <w:rFonts w:cs="Arial"/>
          <w:szCs w:val="22"/>
        </w:rPr>
        <w:t xml:space="preserve"> </w:t>
      </w:r>
    </w:p>
    <w:p w:rsidR="00A14CB5" w:rsidRPr="00293B5F" w:rsidRDefault="00AB06E2" w:rsidP="00306207">
      <w:pPr>
        <w:numPr>
          <w:ilvl w:val="0"/>
          <w:numId w:val="6"/>
        </w:numPr>
        <w:suppressAutoHyphens/>
        <w:rPr>
          <w:rFonts w:cs="Arial"/>
          <w:szCs w:val="22"/>
        </w:rPr>
      </w:pPr>
      <w:r>
        <w:rPr>
          <w:rFonts w:cs="Arial"/>
          <w:szCs w:val="22"/>
        </w:rPr>
        <w:t xml:space="preserve">El </w:t>
      </w:r>
      <w:r w:rsidR="00CB7651" w:rsidRPr="001426FD">
        <w:rPr>
          <w:rFonts w:cs="Arial"/>
          <w:szCs w:val="22"/>
        </w:rPr>
        <w:t>Plan</w:t>
      </w:r>
      <w:r w:rsidR="007B1CC8">
        <w:rPr>
          <w:rFonts w:cs="Arial"/>
          <w:szCs w:val="22"/>
        </w:rPr>
        <w:t xml:space="preserve"> </w:t>
      </w:r>
      <w:r w:rsidR="00CB7651" w:rsidRPr="001426FD">
        <w:rPr>
          <w:rFonts w:cs="Arial"/>
          <w:szCs w:val="22"/>
        </w:rPr>
        <w:t>de Ordenación Forestal</w:t>
      </w:r>
      <w:r>
        <w:rPr>
          <w:rFonts w:cs="Arial"/>
          <w:szCs w:val="22"/>
        </w:rPr>
        <w:t xml:space="preserve"> será </w:t>
      </w:r>
      <w:r w:rsidR="003A2F6B">
        <w:rPr>
          <w:rFonts w:cs="Arial"/>
          <w:szCs w:val="22"/>
        </w:rPr>
        <w:t xml:space="preserve">viable </w:t>
      </w:r>
      <w:r w:rsidR="006D1EF9" w:rsidRPr="00293B5F">
        <w:rPr>
          <w:rFonts w:cs="Arial"/>
          <w:szCs w:val="22"/>
        </w:rPr>
        <w:t>si se le incorpora o articula con los planes de desarrollo regi</w:t>
      </w:r>
      <w:r w:rsidR="00CB7651">
        <w:rPr>
          <w:rFonts w:cs="Arial"/>
          <w:szCs w:val="22"/>
        </w:rPr>
        <w:t>o</w:t>
      </w:r>
      <w:r w:rsidR="006D1EF9" w:rsidRPr="00293B5F">
        <w:rPr>
          <w:rFonts w:cs="Arial"/>
          <w:szCs w:val="22"/>
        </w:rPr>
        <w:t>n</w:t>
      </w:r>
      <w:r w:rsidR="00CB7651">
        <w:rPr>
          <w:rFonts w:cs="Arial"/>
          <w:szCs w:val="22"/>
        </w:rPr>
        <w:t>ales</w:t>
      </w:r>
      <w:r w:rsidR="006D1EF9" w:rsidRPr="00293B5F">
        <w:rPr>
          <w:rFonts w:cs="Arial"/>
          <w:szCs w:val="22"/>
        </w:rPr>
        <w:t xml:space="preserve">, con los planes de vida indígenas, </w:t>
      </w:r>
      <w:r>
        <w:rPr>
          <w:rFonts w:cs="Arial"/>
          <w:szCs w:val="22"/>
        </w:rPr>
        <w:t xml:space="preserve">con </w:t>
      </w:r>
      <w:r w:rsidR="00293B5F" w:rsidRPr="00293B5F">
        <w:rPr>
          <w:rFonts w:cs="Arial"/>
          <w:szCs w:val="22"/>
        </w:rPr>
        <w:t xml:space="preserve">los Planes de Etnodesarrollo, </w:t>
      </w:r>
      <w:r>
        <w:rPr>
          <w:rFonts w:cs="Arial"/>
          <w:szCs w:val="22"/>
        </w:rPr>
        <w:t>con</w:t>
      </w:r>
      <w:r w:rsidR="006D1EF9" w:rsidRPr="00293B5F">
        <w:rPr>
          <w:rFonts w:cs="Arial"/>
          <w:szCs w:val="22"/>
        </w:rPr>
        <w:t xml:space="preserve"> los Planes Operativos de las </w:t>
      </w:r>
      <w:r>
        <w:rPr>
          <w:rFonts w:cs="Arial"/>
          <w:szCs w:val="22"/>
        </w:rPr>
        <w:t>Corporacio</w:t>
      </w:r>
      <w:r w:rsidR="00C21852">
        <w:rPr>
          <w:rFonts w:cs="Arial"/>
          <w:szCs w:val="22"/>
        </w:rPr>
        <w:t>n</w:t>
      </w:r>
      <w:r>
        <w:rPr>
          <w:rFonts w:cs="Arial"/>
          <w:szCs w:val="22"/>
        </w:rPr>
        <w:t>es</w:t>
      </w:r>
      <w:r w:rsidR="00C21852">
        <w:rPr>
          <w:rFonts w:cs="Arial"/>
          <w:szCs w:val="22"/>
        </w:rPr>
        <w:t xml:space="preserve"> Regional</w:t>
      </w:r>
      <w:r>
        <w:rPr>
          <w:rFonts w:cs="Arial"/>
          <w:szCs w:val="22"/>
        </w:rPr>
        <w:t>es</w:t>
      </w:r>
      <w:r w:rsidR="00CB7651">
        <w:rPr>
          <w:rFonts w:cs="Arial"/>
          <w:szCs w:val="22"/>
        </w:rPr>
        <w:t xml:space="preserve"> y</w:t>
      </w:r>
      <w:r w:rsidR="006D1EF9" w:rsidRPr="00293B5F">
        <w:rPr>
          <w:rFonts w:cs="Arial"/>
          <w:szCs w:val="22"/>
        </w:rPr>
        <w:t xml:space="preserve"> </w:t>
      </w:r>
      <w:r>
        <w:rPr>
          <w:rFonts w:cs="Arial"/>
          <w:szCs w:val="22"/>
        </w:rPr>
        <w:t xml:space="preserve">con los planes de acción de </w:t>
      </w:r>
      <w:r w:rsidR="00CB7651">
        <w:rPr>
          <w:rFonts w:cs="Arial"/>
          <w:szCs w:val="22"/>
        </w:rPr>
        <w:t xml:space="preserve">los Municipios, </w:t>
      </w:r>
      <w:r w:rsidR="006D1EF9" w:rsidRPr="00293B5F">
        <w:rPr>
          <w:rFonts w:cs="Arial"/>
          <w:szCs w:val="22"/>
        </w:rPr>
        <w:t>las Gobernacione</w:t>
      </w:r>
      <w:r w:rsidR="00CB7651">
        <w:rPr>
          <w:rFonts w:cs="Arial"/>
          <w:szCs w:val="22"/>
        </w:rPr>
        <w:t xml:space="preserve">s, los </w:t>
      </w:r>
      <w:r w:rsidR="00303C6F" w:rsidRPr="00293B5F">
        <w:rPr>
          <w:rFonts w:cs="Arial"/>
          <w:szCs w:val="22"/>
        </w:rPr>
        <w:t xml:space="preserve">diferentes </w:t>
      </w:r>
      <w:r w:rsidR="006D1EF9" w:rsidRPr="00293B5F">
        <w:rPr>
          <w:rFonts w:cs="Arial"/>
          <w:szCs w:val="22"/>
        </w:rPr>
        <w:t xml:space="preserve">Ministerios </w:t>
      </w:r>
      <w:r w:rsidR="00CB7651">
        <w:rPr>
          <w:rFonts w:cs="Arial"/>
          <w:szCs w:val="22"/>
        </w:rPr>
        <w:t xml:space="preserve">involucrados </w:t>
      </w:r>
      <w:r w:rsidR="006D1EF9" w:rsidRPr="00293B5F">
        <w:rPr>
          <w:rFonts w:cs="Arial"/>
          <w:szCs w:val="22"/>
        </w:rPr>
        <w:t xml:space="preserve">y los Institutos de Investigación del SINA, </w:t>
      </w:r>
      <w:r>
        <w:rPr>
          <w:rFonts w:cs="Arial"/>
          <w:szCs w:val="22"/>
        </w:rPr>
        <w:t>entre otros casos</w:t>
      </w:r>
      <w:r w:rsidR="00CB7651">
        <w:rPr>
          <w:rFonts w:cs="Arial"/>
          <w:szCs w:val="22"/>
        </w:rPr>
        <w:t>.</w:t>
      </w:r>
    </w:p>
    <w:p w:rsidR="00CB7651" w:rsidRPr="008B3AD7" w:rsidRDefault="00CB7651" w:rsidP="00306207">
      <w:pPr>
        <w:numPr>
          <w:ilvl w:val="0"/>
          <w:numId w:val="6"/>
        </w:numPr>
        <w:rPr>
          <w:rFonts w:cs="Arial"/>
          <w:szCs w:val="22"/>
        </w:rPr>
      </w:pPr>
      <w:r>
        <w:rPr>
          <w:rFonts w:cs="Arial"/>
          <w:szCs w:val="22"/>
        </w:rPr>
        <w:t>E</w:t>
      </w:r>
      <w:r w:rsidRPr="008B3AD7">
        <w:rPr>
          <w:rFonts w:cs="Arial"/>
          <w:szCs w:val="22"/>
        </w:rPr>
        <w:t xml:space="preserve">l desarrollo y gestión del </w:t>
      </w:r>
      <w:r w:rsidRPr="001426FD">
        <w:rPr>
          <w:rFonts w:cs="Arial"/>
          <w:szCs w:val="22"/>
        </w:rPr>
        <w:t>Plan</w:t>
      </w:r>
      <w:r w:rsidR="007B1CC8">
        <w:rPr>
          <w:rFonts w:cs="Arial"/>
          <w:szCs w:val="22"/>
        </w:rPr>
        <w:t xml:space="preserve"> </w:t>
      </w:r>
      <w:r w:rsidRPr="001426FD">
        <w:rPr>
          <w:rFonts w:cs="Arial"/>
          <w:szCs w:val="22"/>
        </w:rPr>
        <w:t>de Ordenación Forestal</w:t>
      </w:r>
      <w:r w:rsidRPr="008B3AD7">
        <w:rPr>
          <w:rFonts w:cs="Arial"/>
          <w:szCs w:val="22"/>
        </w:rPr>
        <w:t xml:space="preserve"> es un asunto de trabajo y conocimiento inter e intradisciplinarios, responsabilidad y gestión interinstitucional, con</w:t>
      </w:r>
      <w:r w:rsidR="007B1CC8">
        <w:rPr>
          <w:rFonts w:cs="Arial"/>
          <w:szCs w:val="22"/>
        </w:rPr>
        <w:t xml:space="preserve"> </w:t>
      </w:r>
      <w:r w:rsidRPr="008B3AD7">
        <w:rPr>
          <w:rFonts w:cs="Arial"/>
          <w:szCs w:val="22"/>
        </w:rPr>
        <w:t>la articulación del conocimiento local y tradicional con el conocimiento técnico y científico.</w:t>
      </w:r>
    </w:p>
    <w:p w:rsidR="006D1EF9" w:rsidRPr="00A14B4E" w:rsidRDefault="006D1EF9" w:rsidP="00306207">
      <w:pPr>
        <w:numPr>
          <w:ilvl w:val="0"/>
          <w:numId w:val="6"/>
        </w:numPr>
        <w:suppressAutoHyphens/>
        <w:rPr>
          <w:rFonts w:cs="Arial"/>
          <w:szCs w:val="22"/>
        </w:rPr>
      </w:pPr>
      <w:r w:rsidRPr="00A14B4E">
        <w:rPr>
          <w:rFonts w:cs="Arial"/>
          <w:szCs w:val="22"/>
        </w:rPr>
        <w:t xml:space="preserve">El </w:t>
      </w:r>
      <w:r w:rsidR="00CB7651" w:rsidRPr="001426FD">
        <w:rPr>
          <w:rFonts w:cs="Arial"/>
          <w:szCs w:val="22"/>
        </w:rPr>
        <w:t>Plan</w:t>
      </w:r>
      <w:r w:rsidR="007B1CC8">
        <w:rPr>
          <w:rFonts w:cs="Arial"/>
          <w:szCs w:val="22"/>
        </w:rPr>
        <w:t xml:space="preserve"> </w:t>
      </w:r>
      <w:r w:rsidR="00CB7651" w:rsidRPr="001426FD">
        <w:rPr>
          <w:rFonts w:cs="Arial"/>
          <w:szCs w:val="22"/>
        </w:rPr>
        <w:t>de Ordenación Forestal</w:t>
      </w:r>
      <w:r w:rsidRPr="00A14B4E">
        <w:rPr>
          <w:rFonts w:cs="Arial"/>
          <w:szCs w:val="22"/>
        </w:rPr>
        <w:t xml:space="preserve"> debe ser </w:t>
      </w:r>
      <w:r w:rsidR="00C21852">
        <w:rPr>
          <w:rFonts w:cs="Arial"/>
          <w:szCs w:val="22"/>
        </w:rPr>
        <w:t>adoptado</w:t>
      </w:r>
      <w:r w:rsidRPr="00A14B4E">
        <w:rPr>
          <w:rFonts w:cs="Arial"/>
          <w:szCs w:val="22"/>
        </w:rPr>
        <w:t xml:space="preserve"> mediante </w:t>
      </w:r>
      <w:r>
        <w:rPr>
          <w:rFonts w:cs="Arial"/>
          <w:szCs w:val="22"/>
        </w:rPr>
        <w:t>Acuerdo</w:t>
      </w:r>
      <w:r w:rsidR="00293B5F">
        <w:rPr>
          <w:rFonts w:cs="Arial"/>
          <w:szCs w:val="22"/>
        </w:rPr>
        <w:t xml:space="preserve"> de</w:t>
      </w:r>
      <w:r w:rsidR="00C21852">
        <w:rPr>
          <w:rFonts w:cs="Arial"/>
          <w:szCs w:val="22"/>
        </w:rPr>
        <w:t>l</w:t>
      </w:r>
      <w:r w:rsidR="00293B5F">
        <w:rPr>
          <w:rFonts w:cs="Arial"/>
          <w:szCs w:val="22"/>
        </w:rPr>
        <w:t xml:space="preserve"> Consejo Directivo</w:t>
      </w:r>
      <w:r w:rsidR="00C21852">
        <w:rPr>
          <w:rFonts w:cs="Arial"/>
          <w:szCs w:val="22"/>
        </w:rPr>
        <w:t xml:space="preserve"> de</w:t>
      </w:r>
      <w:r w:rsidR="00C21852" w:rsidRPr="00A14B4E">
        <w:rPr>
          <w:rFonts w:cs="Arial"/>
          <w:szCs w:val="22"/>
        </w:rPr>
        <w:t xml:space="preserve"> la respectiva </w:t>
      </w:r>
      <w:r w:rsidR="00C21852" w:rsidRPr="00C21852">
        <w:rPr>
          <w:rFonts w:cs="Arial"/>
          <w:szCs w:val="22"/>
        </w:rPr>
        <w:t>Corporación Regional</w:t>
      </w:r>
      <w:r w:rsidR="00C21852">
        <w:rPr>
          <w:rFonts w:cs="Arial"/>
          <w:szCs w:val="22"/>
        </w:rPr>
        <w:t>;</w:t>
      </w:r>
      <w:r w:rsidRPr="00A14B4E">
        <w:rPr>
          <w:rFonts w:cs="Arial"/>
          <w:szCs w:val="22"/>
        </w:rPr>
        <w:t xml:space="preserve"> de manera que sea de obligatorio cumplimiento y tenga efecto subsidiario sobre otras iniciativas que se pretendan adelantar dentro de</w:t>
      </w:r>
      <w:r w:rsidR="00CB7651">
        <w:rPr>
          <w:rFonts w:cs="Arial"/>
          <w:szCs w:val="22"/>
        </w:rPr>
        <w:t>l área en su jurisdicción para la cual fue formulado.</w:t>
      </w:r>
    </w:p>
    <w:p w:rsidR="006D1EF9" w:rsidRPr="00A14B4E" w:rsidRDefault="006D1EF9" w:rsidP="00306207">
      <w:pPr>
        <w:numPr>
          <w:ilvl w:val="0"/>
          <w:numId w:val="6"/>
        </w:numPr>
        <w:rPr>
          <w:rFonts w:cs="Arial"/>
          <w:szCs w:val="22"/>
        </w:rPr>
      </w:pPr>
      <w:r>
        <w:rPr>
          <w:rFonts w:cs="Arial"/>
          <w:szCs w:val="22"/>
        </w:rPr>
        <w:t>S</w:t>
      </w:r>
      <w:r w:rsidRPr="00A14B4E">
        <w:rPr>
          <w:rFonts w:cs="Arial"/>
          <w:szCs w:val="22"/>
        </w:rPr>
        <w:t xml:space="preserve">e asume que las acciones de uso sostenible y conservación de los </w:t>
      </w:r>
      <w:r>
        <w:rPr>
          <w:rFonts w:cs="Arial"/>
          <w:szCs w:val="22"/>
        </w:rPr>
        <w:t>recursos forestales</w:t>
      </w:r>
      <w:r w:rsidRPr="00A14B4E">
        <w:rPr>
          <w:rFonts w:cs="Arial"/>
          <w:szCs w:val="22"/>
        </w:rPr>
        <w:t xml:space="preserve"> se fundamentan en que todo aquello que se propicie como desarrollo deberá conseguir un balance entre</w:t>
      </w:r>
      <w:r w:rsidR="007B1CC8">
        <w:rPr>
          <w:rFonts w:cs="Arial"/>
          <w:szCs w:val="22"/>
        </w:rPr>
        <w:t xml:space="preserve"> </w:t>
      </w:r>
      <w:r w:rsidRPr="00A14B4E">
        <w:rPr>
          <w:rFonts w:cs="Arial"/>
          <w:szCs w:val="22"/>
        </w:rPr>
        <w:t>lo ambiental, lo económico y lo social. En este sentido es importante atender los puntos de partida, con el enfoque de</w:t>
      </w:r>
      <w:r w:rsidR="00CB7651">
        <w:rPr>
          <w:rFonts w:cs="Arial"/>
          <w:szCs w:val="22"/>
        </w:rPr>
        <w:t>l diagnóstico situacional</w:t>
      </w:r>
      <w:r w:rsidRPr="00A14B4E">
        <w:rPr>
          <w:rFonts w:cs="Arial"/>
          <w:szCs w:val="22"/>
        </w:rPr>
        <w:t xml:space="preserve"> y las estrategias con base en las cuales se propone el manejo integral y el uso sostenible de los </w:t>
      </w:r>
      <w:r w:rsidR="00CB7651">
        <w:rPr>
          <w:rFonts w:cs="Arial"/>
          <w:szCs w:val="22"/>
        </w:rPr>
        <w:t>recursos forestales plantados en el Plan.</w:t>
      </w:r>
    </w:p>
    <w:p w:rsidR="00CB7651" w:rsidRPr="001942A6" w:rsidRDefault="00CB7651" w:rsidP="00CB7651">
      <w:pPr>
        <w:rPr>
          <w:rFonts w:cs="Arial"/>
          <w:szCs w:val="22"/>
          <w:lang w:val="es-CO"/>
        </w:rPr>
      </w:pPr>
      <w:r w:rsidRPr="005F310E">
        <w:rPr>
          <w:szCs w:val="22"/>
        </w:rPr>
        <w:t xml:space="preserve">Por último, </w:t>
      </w:r>
      <w:r w:rsidRPr="005F310E">
        <w:rPr>
          <w:rFonts w:cs="Arial"/>
          <w:szCs w:val="22"/>
          <w:lang w:val="es-CO"/>
        </w:rPr>
        <w:t>es importante</w:t>
      </w:r>
      <w:r>
        <w:rPr>
          <w:rFonts w:cs="Arial"/>
          <w:szCs w:val="22"/>
          <w:lang w:val="es-CO"/>
        </w:rPr>
        <w:t xml:space="preserve"> resaltar que la Ordenación Forestal Integral y Sostenible es un valioso instrumento de apoyo a las políticas del Gobierno Nacional, en general, y del MADS,</w:t>
      </w:r>
      <w:r w:rsidR="007B1CC8">
        <w:rPr>
          <w:rFonts w:cs="Arial"/>
          <w:szCs w:val="22"/>
          <w:lang w:val="es-CO"/>
        </w:rPr>
        <w:t xml:space="preserve"> </w:t>
      </w:r>
      <w:r>
        <w:rPr>
          <w:rFonts w:cs="Arial"/>
          <w:szCs w:val="22"/>
          <w:lang w:val="es-CO"/>
        </w:rPr>
        <w:t>en particular,</w:t>
      </w:r>
      <w:r w:rsidR="007B1CC8">
        <w:rPr>
          <w:rFonts w:cs="Arial"/>
          <w:szCs w:val="22"/>
          <w:lang w:val="es-CO"/>
        </w:rPr>
        <w:t xml:space="preserve"> </w:t>
      </w:r>
      <w:r>
        <w:rPr>
          <w:rFonts w:cs="Arial"/>
          <w:szCs w:val="22"/>
          <w:lang w:val="es-CO"/>
        </w:rPr>
        <w:t xml:space="preserve">pues aporta insumos de información que facilitan el componente de la </w:t>
      </w:r>
      <w:r w:rsidRPr="001101B8">
        <w:rPr>
          <w:rFonts w:cs="Arial"/>
          <w:szCs w:val="22"/>
          <w:lang w:val="es-CO"/>
        </w:rPr>
        <w:tab/>
        <w:t>GESTIÓN PARA EL CRECIMIENTO VERDE Y DESARROLLO SOSTENIBLE</w:t>
      </w:r>
      <w:r>
        <w:rPr>
          <w:rStyle w:val="Refdenotaalpie"/>
          <w:szCs w:val="22"/>
          <w:lang w:val="es-CO"/>
        </w:rPr>
        <w:footnoteReference w:id="9"/>
      </w:r>
      <w:r>
        <w:rPr>
          <w:rFonts w:cs="Arial"/>
          <w:szCs w:val="22"/>
          <w:lang w:val="es-CO"/>
        </w:rPr>
        <w:t xml:space="preserve">, debido a que la misma es un instrumento de planificación estratégica al nivel regional que proporciona insumos de información semidetallada y rigurosa para la toma de decisiones apropiadas y optimizar la aplicación de recursos financieros, económicos, humanos y técnicos. </w:t>
      </w:r>
    </w:p>
    <w:p w:rsidR="00A4749D" w:rsidRDefault="00A4749D" w:rsidP="00E862AD">
      <w:pPr>
        <w:pStyle w:val="Ttulo1"/>
      </w:pPr>
      <w:bookmarkStart w:id="6" w:name="_Toc23137156"/>
      <w:r>
        <w:lastRenderedPageBreak/>
        <w:t>3. MARCO POLÍTICO Y NORM</w:t>
      </w:r>
      <w:r w:rsidR="00C21852">
        <w:t>ATIVO</w:t>
      </w:r>
      <w:bookmarkEnd w:id="6"/>
    </w:p>
    <w:p w:rsidR="00754215" w:rsidRDefault="00754215" w:rsidP="00E862AD">
      <w:pPr>
        <w:rPr>
          <w:lang w:val="es-CO"/>
        </w:rPr>
      </w:pPr>
      <w:r>
        <w:rPr>
          <w:lang w:val="es-CO"/>
        </w:rPr>
        <w:t>La ordenación forestal integral y sostenible desarroll</w:t>
      </w:r>
      <w:r w:rsidR="00CF4473">
        <w:rPr>
          <w:lang w:val="es-CO"/>
        </w:rPr>
        <w:t xml:space="preserve">a lineamientos </w:t>
      </w:r>
      <w:r>
        <w:rPr>
          <w:lang w:val="es-CO"/>
        </w:rPr>
        <w:t xml:space="preserve">de diferentes políticas </w:t>
      </w:r>
      <w:r w:rsidR="00CF4473">
        <w:rPr>
          <w:lang w:val="es-CO"/>
        </w:rPr>
        <w:t xml:space="preserve">ambientales </w:t>
      </w:r>
      <w:r>
        <w:rPr>
          <w:lang w:val="es-CO"/>
        </w:rPr>
        <w:t xml:space="preserve">nacionales. Del mismo modo, </w:t>
      </w:r>
      <w:r w:rsidR="00CF4473">
        <w:rPr>
          <w:lang w:val="es-CO"/>
        </w:rPr>
        <w:t xml:space="preserve">se sustenta en </w:t>
      </w:r>
      <w:r>
        <w:rPr>
          <w:lang w:val="es-CO"/>
        </w:rPr>
        <w:t>un conjunto de normas que deben ser consultadas, consideradas y aplicadas para la formulación e implementación de la ordenación forestal.</w:t>
      </w:r>
      <w:r w:rsidR="00CF4473">
        <w:rPr>
          <w:lang w:val="es-CO"/>
        </w:rPr>
        <w:t xml:space="preserve"> </w:t>
      </w:r>
      <w:r w:rsidR="00CF4473" w:rsidRPr="00CF4473">
        <w:rPr>
          <w:lang w:val="es-CO"/>
        </w:rPr>
        <w:t>Las políticas y normas ambientales están contenida</w:t>
      </w:r>
      <w:r w:rsidR="00CF4473">
        <w:rPr>
          <w:lang w:val="es-CO"/>
        </w:rPr>
        <w:t>s en el Anexo 4 de la presente G</w:t>
      </w:r>
      <w:r w:rsidR="00CF4473" w:rsidRPr="00CF4473">
        <w:rPr>
          <w:lang w:val="es-CO"/>
        </w:rPr>
        <w:t>uía.</w:t>
      </w:r>
    </w:p>
    <w:p w:rsidR="00805B45" w:rsidRPr="00DE7825" w:rsidRDefault="00CF4473" w:rsidP="00E862AD">
      <w:pPr>
        <w:rPr>
          <w:lang w:val="es-CO"/>
        </w:rPr>
      </w:pPr>
      <w:r>
        <w:rPr>
          <w:lang w:val="es-CO"/>
        </w:rPr>
        <w:t>Dentro d</w:t>
      </w:r>
      <w:r w:rsidR="00754215" w:rsidRPr="00DE7825">
        <w:rPr>
          <w:lang w:val="es-CO"/>
        </w:rPr>
        <w:t>el marco políticas</w:t>
      </w:r>
      <w:r>
        <w:rPr>
          <w:lang w:val="es-CO"/>
        </w:rPr>
        <w:t xml:space="preserve"> ambientales </w:t>
      </w:r>
      <w:r w:rsidR="00754215" w:rsidRPr="00DE7825">
        <w:rPr>
          <w:lang w:val="es-CO"/>
        </w:rPr>
        <w:t>se resalta</w:t>
      </w:r>
      <w:r w:rsidR="00DE7825" w:rsidRPr="00DE7825">
        <w:rPr>
          <w:lang w:val="es-CO"/>
        </w:rPr>
        <w:t xml:space="preserve"> diferentes </w:t>
      </w:r>
      <w:r w:rsidR="00754215" w:rsidRPr="00DE7825">
        <w:rPr>
          <w:lang w:val="es-CO"/>
        </w:rPr>
        <w:t xml:space="preserve">elementos </w:t>
      </w:r>
      <w:r w:rsidR="00DE7825" w:rsidRPr="00DE7825">
        <w:rPr>
          <w:lang w:val="es-CO"/>
        </w:rPr>
        <w:t xml:space="preserve">de la </w:t>
      </w:r>
      <w:r w:rsidR="00DE7825" w:rsidRPr="00CF4473">
        <w:rPr>
          <w:rFonts w:cs="Arial"/>
          <w:i/>
        </w:rPr>
        <w:t>Política Nacional para la Gestión Integral de la Biodiversidad y sus Servicios Ecosistémicos (PNGIBSE)</w:t>
      </w:r>
      <w:r>
        <w:rPr>
          <w:rFonts w:cs="Arial"/>
        </w:rPr>
        <w:t xml:space="preserve"> y de los </w:t>
      </w:r>
      <w:r w:rsidR="00DE7825" w:rsidRPr="00CF4473">
        <w:rPr>
          <w:rFonts w:cs="Arial"/>
          <w:i/>
        </w:rPr>
        <w:t xml:space="preserve">Lineamientos </w:t>
      </w:r>
      <w:r w:rsidRPr="00CF4473">
        <w:rPr>
          <w:rFonts w:cs="Arial"/>
          <w:i/>
        </w:rPr>
        <w:t>de Política de Cambio Climático 2002</w:t>
      </w:r>
      <w:r>
        <w:rPr>
          <w:rFonts w:cs="Arial"/>
        </w:rPr>
        <w:t>;</w:t>
      </w:r>
      <w:r w:rsidR="00DE7825" w:rsidRPr="00DE7825">
        <w:rPr>
          <w:rFonts w:cs="Arial"/>
        </w:rPr>
        <w:t xml:space="preserve"> los cuales </w:t>
      </w:r>
      <w:r>
        <w:rPr>
          <w:lang w:val="es-CO"/>
        </w:rPr>
        <w:t>han tenido</w:t>
      </w:r>
      <w:r w:rsidR="00FE7302">
        <w:rPr>
          <w:lang w:val="es-CO"/>
        </w:rPr>
        <w:t xml:space="preserve"> </w:t>
      </w:r>
      <w:r w:rsidR="00754215" w:rsidRPr="00DE7825">
        <w:rPr>
          <w:lang w:val="es-CO"/>
        </w:rPr>
        <w:t xml:space="preserve">fuerte influencia en la </w:t>
      </w:r>
      <w:r w:rsidR="00FE7302">
        <w:rPr>
          <w:lang w:val="es-CO"/>
        </w:rPr>
        <w:t xml:space="preserve">concepción y la </w:t>
      </w:r>
      <w:r w:rsidR="00754215" w:rsidRPr="00DE7825">
        <w:rPr>
          <w:lang w:val="es-CO"/>
        </w:rPr>
        <w:t>construcción de la Ordenación Forestal Integral y S</w:t>
      </w:r>
      <w:r>
        <w:rPr>
          <w:lang w:val="es-CO"/>
        </w:rPr>
        <w:t xml:space="preserve">ostenible, tal y como a continuación se describe: </w:t>
      </w:r>
    </w:p>
    <w:p w:rsidR="00ED6770" w:rsidRPr="00143759" w:rsidRDefault="007B1CC8" w:rsidP="00E862AD">
      <w:pPr>
        <w:pStyle w:val="Ttulo2"/>
      </w:pPr>
      <w:bookmarkStart w:id="7" w:name="_Toc23137157"/>
      <w:r>
        <w:t xml:space="preserve">3.1. </w:t>
      </w:r>
      <w:r w:rsidR="00ED6770" w:rsidRPr="00143759">
        <w:t>ELEMENTOS DE LA POLÍTICA NACIONAL PARA LA GESTIÓN INTEGRAL DE LA BIODIVERSIDAD Y SUS SERVICIOS ECOSISTÉMICOS (PNGIBSE) QUE FUNDAMENTAN LA ORDENACIÓN FORESTAL INTEGRAL Y SOSTENIBLE</w:t>
      </w:r>
      <w:bookmarkEnd w:id="7"/>
      <w:r w:rsidR="00ED6770" w:rsidRPr="00143759">
        <w:t xml:space="preserve"> </w:t>
      </w:r>
    </w:p>
    <w:p w:rsidR="00ED6770" w:rsidRDefault="00835E08" w:rsidP="007B1CC8">
      <w:r>
        <w:t>La</w:t>
      </w:r>
      <w:r w:rsidR="00ED6770">
        <w:t xml:space="preserve"> </w:t>
      </w:r>
      <w:r w:rsidR="00AB06E2">
        <w:t xml:space="preserve">concepción del </w:t>
      </w:r>
      <w:r w:rsidR="00ED6770">
        <w:t xml:space="preserve">modelo de Ordenación Forestal Integral y Sostenible se enmarca en el propósito y en </w:t>
      </w:r>
      <w:r w:rsidR="00AB06E2">
        <w:t xml:space="preserve">el </w:t>
      </w:r>
      <w:r w:rsidR="00ED6770">
        <w:t xml:space="preserve">objetivo general de la </w:t>
      </w:r>
      <w:r w:rsidR="00ED6770" w:rsidRPr="00244488">
        <w:t>PNGIBSE</w:t>
      </w:r>
      <w:r w:rsidR="00ED6770">
        <w:t>. Que, en el primer caso, consiste en “</w:t>
      </w:r>
      <w:r w:rsidR="00ED6770" w:rsidRPr="00835E08">
        <w:rPr>
          <w:i/>
        </w:rPr>
        <w:t>Garantizar la conservación de la biodiversidad y sus servicios ecosistémicos y la distibución equitativa y justa de los beneficios derivados de esta para contribuir al mejoramiento de la calidad de vida de la población colombiana</w:t>
      </w:r>
      <w:r w:rsidR="00ED6770">
        <w:t>”; y, en el segundo caso</w:t>
      </w:r>
      <w:r>
        <w:t xml:space="preserve"> caso</w:t>
      </w:r>
      <w:r w:rsidR="00ED6770">
        <w:t>, en “</w:t>
      </w:r>
      <w:r w:rsidR="00ED6770" w:rsidRPr="00835E08">
        <w:rPr>
          <w:i/>
        </w:rPr>
        <w:t>Promover la Gestión Integral de la Biodiversidad y sus Servicios Ecosistémicos de manera que se mantenga y mejore la resiliencia de los sistemas socio-ecológicos, así como también se oriente el uso y ocupación del territorio a escalas nacional, regional y local, considerando escenarios de cambio y a través de la acción conjunta coordinada y concertada del Estado, el Sector Productivo y la Sociedad Civil</w:t>
      </w:r>
      <w:r w:rsidR="00ED6770">
        <w:t>”.</w:t>
      </w:r>
      <w:r w:rsidR="00ED6770" w:rsidRPr="00244488">
        <w:rPr>
          <w:rStyle w:val="Refdenotaalpie"/>
          <w:szCs w:val="22"/>
        </w:rPr>
        <w:t xml:space="preserve"> </w:t>
      </w:r>
      <w:r w:rsidR="00ED6770">
        <w:rPr>
          <w:rStyle w:val="Refdenotaalpie"/>
          <w:szCs w:val="22"/>
        </w:rPr>
        <w:footnoteReference w:id="10"/>
      </w:r>
    </w:p>
    <w:p w:rsidR="00ED6770" w:rsidRDefault="00ED6770" w:rsidP="007B1CC8">
      <w:r>
        <w:t>De la misma manera, en la Ordenación Forestal Inte</w:t>
      </w:r>
      <w:r w:rsidR="00E862AD">
        <w:t>g</w:t>
      </w:r>
      <w:r>
        <w:t xml:space="preserve">ral y Sostenible se retoman y reconocen los siguientes elementos conceptuales </w:t>
      </w:r>
      <w:r w:rsidR="00457F68">
        <w:t xml:space="preserve">que se infieren </w:t>
      </w:r>
      <w:r>
        <w:t>de la</w:t>
      </w:r>
      <w:r w:rsidR="007B1CC8">
        <w:t xml:space="preserve"> </w:t>
      </w:r>
      <w:r w:rsidRPr="00C5654D">
        <w:t>PNGIBSE</w:t>
      </w:r>
      <w:r>
        <w:t>:</w:t>
      </w:r>
    </w:p>
    <w:p w:rsidR="00ED6770" w:rsidRDefault="00ED6770" w:rsidP="00446ECB">
      <w:pPr>
        <w:pStyle w:val="Prrafodelista"/>
        <w:numPr>
          <w:ilvl w:val="0"/>
          <w:numId w:val="21"/>
        </w:numPr>
      </w:pPr>
      <w:r>
        <w:t>La Gestión Integral d</w:t>
      </w:r>
      <w:r w:rsidRPr="00337B26">
        <w:t xml:space="preserve">e </w:t>
      </w:r>
      <w:r>
        <w:t>la Biodiversidad y</w:t>
      </w:r>
      <w:r w:rsidRPr="00337B26">
        <w:t xml:space="preserve"> </w:t>
      </w:r>
      <w:r>
        <w:t>s</w:t>
      </w:r>
      <w:r w:rsidRPr="00337B26">
        <w:t>us Servicios Ecosistémicos</w:t>
      </w:r>
      <w:r>
        <w:t xml:space="preserve"> se adelanta mediante una aproximación con enfoque tanto ecosistémico como sociosistémico.</w:t>
      </w:r>
    </w:p>
    <w:p w:rsidR="00ED6770" w:rsidRDefault="00ED6770" w:rsidP="00446ECB">
      <w:pPr>
        <w:pStyle w:val="Prrafodelista"/>
        <w:numPr>
          <w:ilvl w:val="0"/>
          <w:numId w:val="21"/>
        </w:numPr>
      </w:pPr>
      <w:r>
        <w:t>Implica el reconocimiento de la resiliencia de los estados y umbrales de estabilidad o c</w:t>
      </w:r>
      <w:r w:rsidR="007B1CC8">
        <w:t>ambio de los socioecosistemas.</w:t>
      </w:r>
    </w:p>
    <w:p w:rsidR="00ED6770" w:rsidRDefault="00ED6770" w:rsidP="00446ECB">
      <w:pPr>
        <w:pStyle w:val="Prrafodelista"/>
        <w:numPr>
          <w:ilvl w:val="0"/>
          <w:numId w:val="21"/>
        </w:numPr>
      </w:pPr>
      <w:r>
        <w:t>Se reconoce que el suministro de los servicios ecosistémicos depende de la biodiversidad.</w:t>
      </w:r>
    </w:p>
    <w:p w:rsidR="00ED6770" w:rsidRDefault="00ED6770" w:rsidP="00446ECB">
      <w:pPr>
        <w:pStyle w:val="Prrafodelista"/>
        <w:numPr>
          <w:ilvl w:val="0"/>
          <w:numId w:val="21"/>
        </w:numPr>
      </w:pPr>
      <w:r>
        <w:tab/>
        <w:t>Considera que la conservación conlleva realizar actividades tanto de preservación como de uso sostenible, restauración y generación de conocimiento.</w:t>
      </w:r>
    </w:p>
    <w:p w:rsidR="00ED6770" w:rsidRDefault="00ED6770" w:rsidP="00446ECB">
      <w:pPr>
        <w:pStyle w:val="Prrafodelista"/>
        <w:numPr>
          <w:ilvl w:val="0"/>
          <w:numId w:val="21"/>
        </w:numPr>
      </w:pPr>
      <w:r>
        <w:tab/>
        <w:t>En la PNGIBSE se da validez a los diferentes sistemas de conocimiento, tanto científico como tradicional.</w:t>
      </w:r>
    </w:p>
    <w:p w:rsidR="00ED6770" w:rsidRDefault="00ED6770" w:rsidP="00446ECB">
      <w:pPr>
        <w:pStyle w:val="Prrafodelista"/>
        <w:numPr>
          <w:ilvl w:val="0"/>
          <w:numId w:val="21"/>
        </w:numPr>
      </w:pPr>
      <w:r>
        <w:tab/>
        <w:t>Conlleva a la identificación y caracterización de los motores de deterioro, transformación o pérdida de la biodiversidad.</w:t>
      </w:r>
    </w:p>
    <w:p w:rsidR="00ED6770" w:rsidRDefault="00ED6770" w:rsidP="00446ECB">
      <w:pPr>
        <w:pStyle w:val="Prrafodelista"/>
        <w:numPr>
          <w:ilvl w:val="0"/>
          <w:numId w:val="21"/>
        </w:numPr>
      </w:pPr>
      <w:r>
        <w:tab/>
        <w:t>El abordaje de los conflictos socioambientales se constituyen en eje transversal de la gestión de la biodiversidad.</w:t>
      </w:r>
    </w:p>
    <w:p w:rsidR="00ED6770" w:rsidRDefault="00ED6770" w:rsidP="00446ECB">
      <w:pPr>
        <w:pStyle w:val="Prrafodelista"/>
        <w:numPr>
          <w:ilvl w:val="0"/>
          <w:numId w:val="21"/>
        </w:numPr>
      </w:pPr>
      <w:r>
        <w:tab/>
        <w:t>La construcción y planificación del territorio se basa, entre otros aspectos, en la consideración de la biodiversidad y sus servicios ecosistémicos.</w:t>
      </w:r>
    </w:p>
    <w:p w:rsidR="00ED6770" w:rsidRDefault="00ED6770" w:rsidP="007B1CC8">
      <w:r>
        <w:t xml:space="preserve">Por otra parte, la ordenación forestal integral y sostenible es un instrumento de planificación estratégica de las tierras forestales y </w:t>
      </w:r>
      <w:r w:rsidR="004E015F">
        <w:t>agroforestales que</w:t>
      </w:r>
      <w:r>
        <w:t xml:space="preserve"> se conjuga con la G</w:t>
      </w:r>
      <w:r w:rsidR="004E015F">
        <w:t xml:space="preserve">estion </w:t>
      </w:r>
      <w:r>
        <w:t>I</w:t>
      </w:r>
      <w:r w:rsidR="004E015F">
        <w:t xml:space="preserve">ntegral de la </w:t>
      </w:r>
      <w:r>
        <w:t>B</w:t>
      </w:r>
      <w:r w:rsidR="004E015F">
        <w:t xml:space="preserve">iodiversidad y sus </w:t>
      </w:r>
      <w:r>
        <w:t>S</w:t>
      </w:r>
      <w:r w:rsidR="004E015F">
        <w:t xml:space="preserve">ervicios </w:t>
      </w:r>
      <w:r>
        <w:t>E</w:t>
      </w:r>
      <w:r w:rsidR="004E015F">
        <w:t>cosistémicos y,</w:t>
      </w:r>
      <w:r>
        <w:t xml:space="preserve"> a la vez la complementa</w:t>
      </w:r>
      <w:r w:rsidR="004E015F">
        <w:t>. E</w:t>
      </w:r>
      <w:r>
        <w:t>sto se fundamenta en que la Política de Biodiversidad</w:t>
      </w:r>
      <w:r w:rsidR="007B1CC8">
        <w:t xml:space="preserve"> </w:t>
      </w:r>
      <w:r>
        <w:t>es considerada como “</w:t>
      </w:r>
      <w:r w:rsidRPr="00141C6E">
        <w:rPr>
          <w:i/>
        </w:rPr>
        <w:t>un proceso por el cual se planifican, ejecutan y monitorean las acciones para la conservación de la biodiversidad y sus servicios ecosistémicos, en un escenario social y territorial definido; en diferentes estados de conservación y con el propósito de maximizar el bienestar social, a través del mantenimiento de la resiliencia de los sistemas socio-ecológicos”. En el mismo sentido, dicha conjugación y complementación se concreta a partir del principio de la PNGIBSE que reza lo siguiente: “La conservación de la biodiversidad deberá ser entendida y manejada como la base del ordenamiento territorial del</w:t>
      </w:r>
      <w:r w:rsidR="007B1CC8">
        <w:rPr>
          <w:i/>
        </w:rPr>
        <w:t xml:space="preserve"> </w:t>
      </w:r>
      <w:r w:rsidRPr="00141C6E">
        <w:rPr>
          <w:i/>
        </w:rPr>
        <w:t xml:space="preserve">país, de forma que se mantenga la </w:t>
      </w:r>
      <w:r w:rsidRPr="00141C6E">
        <w:rPr>
          <w:i/>
        </w:rPr>
        <w:lastRenderedPageBreak/>
        <w:t>resiliencia de los sistemas socioecológicos y se asegure el suministro de servicios ecosistémicos fundamentales para el bienestar humano y se reduzca la vulnerabilidad sociosistémica</w:t>
      </w:r>
      <w:r>
        <w:t>.”</w:t>
      </w:r>
      <w:r>
        <w:rPr>
          <w:rStyle w:val="Refdenotaalpie"/>
          <w:szCs w:val="22"/>
        </w:rPr>
        <w:footnoteReference w:id="11"/>
      </w:r>
      <w:r w:rsidR="007B1CC8">
        <w:t xml:space="preserve"> </w:t>
      </w:r>
    </w:p>
    <w:p w:rsidR="00ED6770" w:rsidRPr="00AC4C9D" w:rsidRDefault="008F3220" w:rsidP="007B1CC8">
      <w:pPr>
        <w:rPr>
          <w:lang w:val="es-CO"/>
        </w:rPr>
      </w:pPr>
      <w:r>
        <w:t>Igualmente,</w:t>
      </w:r>
      <w:r w:rsidR="00AB06E2">
        <w:t xml:space="preserve"> fueron ampliamente considerados y aplicados </w:t>
      </w:r>
      <w:r>
        <w:t xml:space="preserve">diferentes </w:t>
      </w:r>
      <w:r w:rsidR="00AB06E2">
        <w:t>el</w:t>
      </w:r>
      <w:r>
        <w:t>ementos del manejo ecosistémico, que</w:t>
      </w:r>
      <w:r w:rsidR="00AB06E2">
        <w:t xml:space="preserve"> superan a los del manejo convencional.</w:t>
      </w:r>
      <w:r w:rsidR="007B1CC8">
        <w:t xml:space="preserve"> </w:t>
      </w:r>
      <w:r w:rsidR="00AB06E2">
        <w:t>A manera de ilustración, en la siguiente Tabla se muestra l</w:t>
      </w:r>
      <w:r w:rsidR="00137D75">
        <w:t xml:space="preserve">as </w:t>
      </w:r>
      <w:r w:rsidR="00ED6770" w:rsidRPr="00137D75">
        <w:t xml:space="preserve">diferencias </w:t>
      </w:r>
      <w:r w:rsidR="00137D75" w:rsidRPr="00137D75">
        <w:t xml:space="preserve">más significativas </w:t>
      </w:r>
      <w:r w:rsidR="00137D75">
        <w:t xml:space="preserve">entre ambos </w:t>
      </w:r>
      <w:r w:rsidR="007B1CC8">
        <w:t>tipos de manejo</w:t>
      </w:r>
      <w:r w:rsidR="007B1CC8">
        <w:rPr>
          <w:lang w:val="es-CO"/>
        </w:rPr>
        <w:t>:</w:t>
      </w:r>
    </w:p>
    <w:p w:rsidR="00ED6770" w:rsidRDefault="007B1CC8" w:rsidP="007B1CC8">
      <w:pPr>
        <w:pStyle w:val="Epgrafe"/>
        <w:rPr>
          <w:rFonts w:cs="Arial"/>
          <w:szCs w:val="18"/>
          <w:lang w:val="es-CO"/>
        </w:rPr>
      </w:pPr>
      <w:bookmarkStart w:id="8" w:name="_Toc23137181"/>
      <w:r>
        <w:t xml:space="preserve">Tabla </w:t>
      </w:r>
      <w:r>
        <w:fldChar w:fldCharType="begin"/>
      </w:r>
      <w:r>
        <w:instrText xml:space="preserve"> SEQ Tabla \* ARABIC </w:instrText>
      </w:r>
      <w:r>
        <w:fldChar w:fldCharType="separate"/>
      </w:r>
      <w:r w:rsidR="00B2203B">
        <w:rPr>
          <w:noProof/>
        </w:rPr>
        <w:t>2</w:t>
      </w:r>
      <w:r>
        <w:fldChar w:fldCharType="end"/>
      </w:r>
      <w:r>
        <w:t xml:space="preserve">. </w:t>
      </w:r>
      <w:r w:rsidR="00ED6770" w:rsidRPr="00AC4C9D">
        <w:rPr>
          <w:rFonts w:cs="Arial"/>
          <w:szCs w:val="18"/>
          <w:lang w:val="es-CO"/>
        </w:rPr>
        <w:t>Comparación de elementos conceptuales del Manejo Convencional</w:t>
      </w:r>
      <w:r>
        <w:rPr>
          <w:rFonts w:cs="Arial"/>
          <w:szCs w:val="18"/>
          <w:lang w:val="es-CO"/>
        </w:rPr>
        <w:t xml:space="preserve"> </w:t>
      </w:r>
      <w:r w:rsidR="00ED6770" w:rsidRPr="00AC4C9D">
        <w:rPr>
          <w:rFonts w:cs="Arial"/>
          <w:szCs w:val="18"/>
          <w:lang w:val="es-CO"/>
        </w:rPr>
        <w:t>y del Manejo Ecosistémico</w:t>
      </w:r>
      <w:bookmarkEnd w:id="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05"/>
        <w:gridCol w:w="4657"/>
      </w:tblGrid>
      <w:tr w:rsidR="00ED6770" w:rsidRPr="007B1CC8" w:rsidTr="007B1CC8">
        <w:trPr>
          <w:trHeight w:val="239"/>
          <w:jc w:val="center"/>
        </w:trPr>
        <w:tc>
          <w:tcPr>
            <w:tcW w:w="2486" w:type="pct"/>
            <w:shd w:val="clear" w:color="auto" w:fill="C2D69B" w:themeFill="accent3" w:themeFillTint="99"/>
          </w:tcPr>
          <w:p w:rsidR="00ED6770" w:rsidRPr="007B1CC8" w:rsidRDefault="007B1CC8" w:rsidP="00FE3C81">
            <w:pPr>
              <w:widowControl w:val="0"/>
              <w:tabs>
                <w:tab w:val="left" w:pos="-720"/>
              </w:tabs>
              <w:suppressAutoHyphens/>
              <w:jc w:val="center"/>
              <w:rPr>
                <w:rFonts w:cs="Arial"/>
                <w:b/>
                <w:spacing w:val="-3"/>
                <w:sz w:val="20"/>
                <w:szCs w:val="20"/>
                <w:lang w:val="es-ES_tradnl"/>
              </w:rPr>
            </w:pPr>
            <w:r w:rsidRPr="007B1CC8">
              <w:rPr>
                <w:rFonts w:cs="Arial"/>
                <w:b/>
                <w:spacing w:val="-3"/>
                <w:sz w:val="20"/>
                <w:szCs w:val="20"/>
                <w:lang w:val="es-ES_tradnl"/>
              </w:rPr>
              <w:t>Manejo convencional</w:t>
            </w:r>
          </w:p>
        </w:tc>
        <w:tc>
          <w:tcPr>
            <w:tcW w:w="2514" w:type="pct"/>
            <w:shd w:val="clear" w:color="auto" w:fill="C2D69B" w:themeFill="accent3" w:themeFillTint="99"/>
          </w:tcPr>
          <w:p w:rsidR="00ED6770" w:rsidRPr="007B1CC8" w:rsidRDefault="007B1CC8" w:rsidP="00FE3C81">
            <w:pPr>
              <w:widowControl w:val="0"/>
              <w:tabs>
                <w:tab w:val="left" w:pos="-720"/>
              </w:tabs>
              <w:suppressAutoHyphens/>
              <w:jc w:val="center"/>
              <w:rPr>
                <w:rFonts w:cs="Arial"/>
                <w:b/>
                <w:spacing w:val="-3"/>
                <w:sz w:val="20"/>
                <w:szCs w:val="20"/>
                <w:lang w:val="es-ES_tradnl"/>
              </w:rPr>
            </w:pPr>
            <w:r w:rsidRPr="007B1CC8">
              <w:rPr>
                <w:rFonts w:cs="Arial"/>
                <w:b/>
                <w:spacing w:val="-3"/>
                <w:sz w:val="20"/>
                <w:szCs w:val="20"/>
                <w:lang w:val="es-ES_tradnl"/>
              </w:rPr>
              <w:t>Manejo ecosistémico</w:t>
            </w:r>
          </w:p>
        </w:tc>
      </w:tr>
      <w:tr w:rsidR="00ED6770" w:rsidRPr="007B1CC8" w:rsidTr="007B1CC8">
        <w:trPr>
          <w:jc w:val="center"/>
        </w:trPr>
        <w:tc>
          <w:tcPr>
            <w:tcW w:w="2486" w:type="pct"/>
          </w:tcPr>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Énfasis en el manejo de algunos servicios ambientales o la extracción de recursos.</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Se busca lograr el equilibrio, la estabilidad y el estado de “clímax” en las comunidades bióticas o los ecosistemas.</w:t>
            </w:r>
          </w:p>
          <w:p w:rsidR="00ED6770" w:rsidRPr="007B1CC8" w:rsidRDefault="00ED6770" w:rsidP="00FE3C81">
            <w:pPr>
              <w:widowControl w:val="0"/>
              <w:tabs>
                <w:tab w:val="left" w:pos="-720"/>
              </w:tabs>
              <w:suppressAutoHyphens/>
              <w:ind w:left="398"/>
              <w:rPr>
                <w:rFonts w:cs="Arial"/>
                <w:spacing w:val="-3"/>
                <w:sz w:val="20"/>
                <w:szCs w:val="20"/>
                <w:lang w:val="es-ES_tradnl"/>
              </w:rPr>
            </w:pP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Se basa en una aproximación que se enfoca en aspectos estructurales de los sistemas ecológicos, y enfatiza el manejo de especies individuales.</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El manejo es prescriptivo y rígido. Define un estado de “deber ser”</w:t>
            </w:r>
            <w:r w:rsidR="007B1CC8">
              <w:rPr>
                <w:rFonts w:cs="Arial"/>
                <w:spacing w:val="-3"/>
                <w:sz w:val="20"/>
                <w:szCs w:val="20"/>
                <w:lang w:val="es-ES_tradnl"/>
              </w:rPr>
              <w:t xml:space="preserve"> </w:t>
            </w:r>
            <w:r w:rsidRPr="007B1CC8">
              <w:rPr>
                <w:rFonts w:cs="Arial"/>
                <w:spacing w:val="-3"/>
                <w:sz w:val="20"/>
                <w:szCs w:val="20"/>
                <w:lang w:val="es-ES_tradnl"/>
              </w:rPr>
              <w:t>único e inflexible.</w:t>
            </w:r>
            <w:r w:rsidR="007B1CC8">
              <w:rPr>
                <w:rFonts w:cs="Arial"/>
                <w:spacing w:val="-3"/>
                <w:sz w:val="20"/>
                <w:szCs w:val="20"/>
                <w:lang w:val="es-ES_tradnl"/>
              </w:rPr>
              <w:t xml:space="preserve"> </w:t>
            </w:r>
          </w:p>
          <w:p w:rsidR="00194D94" w:rsidRPr="007B1CC8" w:rsidRDefault="00194D94" w:rsidP="00194D94">
            <w:pPr>
              <w:ind w:left="398"/>
              <w:jc w:val="left"/>
              <w:rPr>
                <w:rFonts w:cs="Arial"/>
                <w:spacing w:val="-3"/>
                <w:sz w:val="20"/>
                <w:szCs w:val="20"/>
                <w:lang w:val="es-ES_tradnl"/>
              </w:rPr>
            </w:pPr>
          </w:p>
          <w:p w:rsidR="00ED6770" w:rsidRPr="007B1CC8" w:rsidRDefault="00ED6770" w:rsidP="00306207">
            <w:pPr>
              <w:numPr>
                <w:ilvl w:val="0"/>
                <w:numId w:val="5"/>
              </w:numPr>
              <w:ind w:left="398"/>
              <w:jc w:val="left"/>
              <w:rPr>
                <w:rFonts w:cs="Arial"/>
                <w:spacing w:val="-3"/>
                <w:sz w:val="20"/>
                <w:szCs w:val="20"/>
                <w:lang w:val="es-ES_tradnl"/>
              </w:rPr>
            </w:pPr>
            <w:r w:rsidRPr="007B1CC8">
              <w:rPr>
                <w:rFonts w:cs="Arial"/>
                <w:spacing w:val="-3"/>
                <w:sz w:val="20"/>
                <w:szCs w:val="20"/>
                <w:lang w:val="es-ES_tradnl"/>
              </w:rPr>
              <w:t xml:space="preserve">Las alternativas de manejo las desarrollan las agencias con mandato de manejo de los recursos naturales, o los sitios de interés natural. </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 xml:space="preserve">Hay confrontación en la búsqueda de las alternativas, y polarización en torno a hechos o visiones únicas que generan controversias en el manejo. </w:t>
            </w:r>
          </w:p>
        </w:tc>
        <w:tc>
          <w:tcPr>
            <w:tcW w:w="2514" w:type="pct"/>
          </w:tcPr>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Énfasis en un manejo que lleve al balance entre los bienes, servicios ambientales y la integridad ecológica.</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Se reconoce la existencia de ecosistemas dinámicos, que se mueven entre estados alternos de equilibro estables, determinados en gran medida por su capacidad de resiliencia.</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Se conoce y entiende mejor la naturaleza e implicaciones del cambio ecológico</w:t>
            </w:r>
            <w:r w:rsidRPr="007B1CC8">
              <w:rPr>
                <w:rFonts w:cs="Arial"/>
                <w:spacing w:val="-3"/>
                <w:sz w:val="20"/>
                <w:szCs w:val="20"/>
                <w:vertAlign w:val="superscript"/>
              </w:rPr>
              <w:footnoteReference w:id="12"/>
            </w:r>
          </w:p>
          <w:p w:rsidR="00ED6770" w:rsidRPr="007B1CC8" w:rsidRDefault="00ED6770" w:rsidP="00FE3C81">
            <w:pPr>
              <w:widowControl w:val="0"/>
              <w:tabs>
                <w:tab w:val="left" w:pos="-720"/>
              </w:tabs>
              <w:suppressAutoHyphens/>
              <w:ind w:left="398"/>
              <w:rPr>
                <w:rFonts w:cs="Arial"/>
                <w:spacing w:val="-3"/>
                <w:sz w:val="20"/>
                <w:szCs w:val="20"/>
                <w:lang w:val="es-ES_tradnl"/>
              </w:rPr>
            </w:pP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Se basa en una aproximación holística, enfocada en los aspectos funcionales, y en las escalas más amplias</w:t>
            </w:r>
            <w:r w:rsidR="007B1CC8">
              <w:rPr>
                <w:rFonts w:cs="Arial"/>
                <w:spacing w:val="-3"/>
                <w:sz w:val="20"/>
                <w:szCs w:val="20"/>
                <w:lang w:val="es-ES_tradnl"/>
              </w:rPr>
              <w:t xml:space="preserve"> </w:t>
            </w:r>
            <w:r w:rsidRPr="007B1CC8">
              <w:rPr>
                <w:rFonts w:cs="Arial"/>
                <w:spacing w:val="-3"/>
                <w:sz w:val="20"/>
                <w:szCs w:val="20"/>
                <w:lang w:val="es-ES_tradnl"/>
              </w:rPr>
              <w:t xml:space="preserve">de la organización biológica (ecosistemas y regiones). </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 xml:space="preserve">El manejo acepta la incertidumbre inherente a los ecosistemas y se permite cierta flexibilidad para incorporar cambios. </w:t>
            </w:r>
          </w:p>
          <w:p w:rsidR="00ED6770" w:rsidRPr="007B1CC8" w:rsidRDefault="00ED6770" w:rsidP="00306207">
            <w:pPr>
              <w:numPr>
                <w:ilvl w:val="0"/>
                <w:numId w:val="5"/>
              </w:numPr>
              <w:ind w:left="398"/>
              <w:jc w:val="left"/>
              <w:rPr>
                <w:rFonts w:cs="Arial"/>
                <w:spacing w:val="-3"/>
                <w:sz w:val="20"/>
                <w:szCs w:val="20"/>
                <w:lang w:val="es-ES_tradnl"/>
              </w:rPr>
            </w:pPr>
            <w:r w:rsidRPr="007B1CC8">
              <w:rPr>
                <w:rFonts w:cs="Arial"/>
                <w:spacing w:val="-3"/>
                <w:sz w:val="20"/>
                <w:szCs w:val="20"/>
                <w:lang w:val="es-ES_tradnl"/>
              </w:rPr>
              <w:t>No se basa solamente en manejar los ecosistemas para mejorar su salud y así maximizar la oferta de bienes y servicios a la sociedad. En la práctica esto implica la resolución de conflictos de intereses entre actores sociales por lo que es necesario equilibrar los criterios científicos con las visiones y percepciones de grupos sociales. Las posibles</w:t>
            </w:r>
            <w:r w:rsidR="007B1CC8">
              <w:rPr>
                <w:rFonts w:cs="Arial"/>
                <w:spacing w:val="-3"/>
                <w:sz w:val="20"/>
                <w:szCs w:val="20"/>
                <w:lang w:val="es-ES_tradnl"/>
              </w:rPr>
              <w:t xml:space="preserve"> </w:t>
            </w:r>
            <w:r w:rsidRPr="007B1CC8">
              <w:rPr>
                <w:rFonts w:cs="Arial"/>
                <w:spacing w:val="-3"/>
                <w:sz w:val="20"/>
                <w:szCs w:val="20"/>
                <w:lang w:val="es-ES_tradnl"/>
              </w:rPr>
              <w:t>soluciones se construyen colectivamente y se desarrollan con participación de todos los actores (“</w:t>
            </w:r>
            <w:r w:rsidRPr="007B1CC8">
              <w:rPr>
                <w:rFonts w:cs="Arial"/>
                <w:i/>
                <w:spacing w:val="-3"/>
                <w:sz w:val="20"/>
                <w:szCs w:val="20"/>
                <w:lang w:val="es-ES_tradnl"/>
              </w:rPr>
              <w:t>stakeholders</w:t>
            </w:r>
            <w:r w:rsidRPr="007B1CC8">
              <w:rPr>
                <w:rFonts w:cs="Arial"/>
                <w:spacing w:val="-3"/>
                <w:sz w:val="20"/>
                <w:szCs w:val="20"/>
                <w:lang w:val="es-ES_tradnl"/>
              </w:rPr>
              <w:t xml:space="preserve">”). </w:t>
            </w:r>
          </w:p>
          <w:p w:rsidR="00ED6770" w:rsidRPr="007B1CC8" w:rsidRDefault="00ED6770" w:rsidP="00306207">
            <w:pPr>
              <w:numPr>
                <w:ilvl w:val="0"/>
                <w:numId w:val="4"/>
              </w:numPr>
              <w:ind w:left="398"/>
              <w:jc w:val="left"/>
              <w:rPr>
                <w:rFonts w:cs="Arial"/>
                <w:spacing w:val="-3"/>
                <w:sz w:val="20"/>
                <w:szCs w:val="20"/>
                <w:lang w:val="es-ES_tradnl"/>
              </w:rPr>
            </w:pPr>
            <w:r w:rsidRPr="007B1CC8">
              <w:rPr>
                <w:rFonts w:cs="Arial"/>
                <w:spacing w:val="-3"/>
                <w:sz w:val="20"/>
                <w:szCs w:val="20"/>
                <w:lang w:val="es-ES_tradnl"/>
              </w:rPr>
              <w:t xml:space="preserve">Las decisiones se toman por consenso: se sopesan escenarios alternativos de manejo, hay compromisos entre las visiones e intereses de los diferentes actores. </w:t>
            </w:r>
          </w:p>
        </w:tc>
      </w:tr>
    </w:tbl>
    <w:p w:rsidR="00ED6770" w:rsidRPr="00AC4C9D" w:rsidRDefault="00ED6770" w:rsidP="00ED6770">
      <w:pPr>
        <w:ind w:left="426" w:hanging="426"/>
        <w:jc w:val="left"/>
        <w:rPr>
          <w:rFonts w:asciiTheme="minorHAnsi" w:eastAsiaTheme="minorHAnsi" w:hAnsiTheme="minorHAnsi" w:cstheme="minorBidi"/>
          <w:szCs w:val="22"/>
          <w:lang w:eastAsia="en-US"/>
        </w:rPr>
      </w:pPr>
      <w:r w:rsidRPr="00AC4C9D">
        <w:rPr>
          <w:sz w:val="14"/>
          <w:szCs w:val="14"/>
          <w:lang w:val="es-CO"/>
        </w:rPr>
        <w:t xml:space="preserve">Fuente: </w:t>
      </w:r>
      <w:r>
        <w:rPr>
          <w:rFonts w:cs="Arial"/>
          <w:i/>
          <w:sz w:val="14"/>
          <w:szCs w:val="14"/>
          <w:lang w:val="es-CO"/>
        </w:rPr>
        <w:t>Ministerio d</w:t>
      </w:r>
      <w:r w:rsidRPr="00AC4C9D">
        <w:rPr>
          <w:rFonts w:cs="Arial"/>
          <w:i/>
          <w:sz w:val="14"/>
          <w:szCs w:val="14"/>
          <w:lang w:val="es-CO"/>
        </w:rPr>
        <w:t xml:space="preserve">e Ambiente, Vivienda </w:t>
      </w:r>
      <w:r>
        <w:rPr>
          <w:rFonts w:cs="Arial"/>
          <w:i/>
          <w:sz w:val="14"/>
          <w:szCs w:val="14"/>
          <w:lang w:val="es-CO"/>
        </w:rPr>
        <w:t>y</w:t>
      </w:r>
      <w:r w:rsidRPr="00AC4C9D">
        <w:rPr>
          <w:rFonts w:cs="Arial"/>
          <w:i/>
          <w:sz w:val="14"/>
          <w:szCs w:val="14"/>
          <w:lang w:val="es-CO"/>
        </w:rPr>
        <w:t xml:space="preserve"> Desa</w:t>
      </w:r>
      <w:r>
        <w:rPr>
          <w:rFonts w:cs="Arial"/>
          <w:i/>
          <w:sz w:val="14"/>
          <w:szCs w:val="14"/>
          <w:lang w:val="es-CO"/>
        </w:rPr>
        <w:t>rrollo Territorial.</w:t>
      </w:r>
      <w:r w:rsidR="007B1CC8">
        <w:rPr>
          <w:rFonts w:cs="Arial"/>
          <w:i/>
          <w:sz w:val="14"/>
          <w:szCs w:val="14"/>
          <w:lang w:val="es-CO"/>
        </w:rPr>
        <w:t xml:space="preserve"> </w:t>
      </w:r>
      <w:r>
        <w:rPr>
          <w:rFonts w:cs="Arial"/>
          <w:i/>
          <w:sz w:val="14"/>
          <w:szCs w:val="14"/>
          <w:lang w:val="es-CO"/>
        </w:rPr>
        <w:t>Dirección</w:t>
      </w:r>
      <w:r w:rsidR="007B1CC8">
        <w:rPr>
          <w:rFonts w:cs="Arial"/>
          <w:i/>
          <w:sz w:val="14"/>
          <w:szCs w:val="14"/>
          <w:lang w:val="es-CO"/>
        </w:rPr>
        <w:t xml:space="preserve"> </w:t>
      </w:r>
      <w:r>
        <w:rPr>
          <w:rFonts w:cs="Arial"/>
          <w:i/>
          <w:sz w:val="14"/>
          <w:szCs w:val="14"/>
          <w:lang w:val="es-CO"/>
        </w:rPr>
        <w:t>d</w:t>
      </w:r>
      <w:r w:rsidRPr="00AC4C9D">
        <w:rPr>
          <w:rFonts w:cs="Arial"/>
          <w:i/>
          <w:sz w:val="14"/>
          <w:szCs w:val="14"/>
          <w:lang w:val="es-CO"/>
        </w:rPr>
        <w:t xml:space="preserve">e Ecosistemas. Pontificia Universidad Javeriana - </w:t>
      </w:r>
      <w:r>
        <w:rPr>
          <w:rFonts w:cs="Arial"/>
          <w:i/>
          <w:iCs/>
          <w:sz w:val="14"/>
          <w:szCs w:val="14"/>
        </w:rPr>
        <w:t>Instituto de Estudios Ambientales para e</w:t>
      </w:r>
      <w:r w:rsidRPr="00AC4C9D">
        <w:rPr>
          <w:rFonts w:cs="Arial"/>
          <w:i/>
          <w:iCs/>
          <w:sz w:val="14"/>
          <w:szCs w:val="14"/>
        </w:rPr>
        <w:t>l Desarrollo.</w:t>
      </w:r>
      <w:r w:rsidR="007B1CC8">
        <w:rPr>
          <w:rFonts w:cs="Arial"/>
          <w:i/>
          <w:iCs/>
          <w:sz w:val="14"/>
          <w:szCs w:val="14"/>
        </w:rPr>
        <w:t xml:space="preserve"> </w:t>
      </w:r>
      <w:r w:rsidRPr="00AC4C9D">
        <w:rPr>
          <w:rFonts w:cs="Arial"/>
          <w:i/>
          <w:sz w:val="14"/>
          <w:szCs w:val="14"/>
          <w:lang w:val="es-CO"/>
        </w:rPr>
        <w:t xml:space="preserve">Anexo 1. </w:t>
      </w:r>
      <w:r w:rsidRPr="00AC4C9D">
        <w:rPr>
          <w:rFonts w:cs="Arial"/>
          <w:i/>
          <w:sz w:val="14"/>
          <w:szCs w:val="14"/>
        </w:rPr>
        <w:t>Revisión de las bases conceptuales de la Política Nacional de Biodiversidad (PNB).</w:t>
      </w:r>
    </w:p>
    <w:p w:rsidR="00ED6770" w:rsidRPr="00143759" w:rsidRDefault="007B1CC8" w:rsidP="007B1CC8">
      <w:pPr>
        <w:pStyle w:val="Ttulo2"/>
      </w:pPr>
      <w:bookmarkStart w:id="9" w:name="_Toc23137158"/>
      <w:r>
        <w:t xml:space="preserve">3.2. </w:t>
      </w:r>
      <w:r w:rsidR="00ED6770" w:rsidRPr="00143759">
        <w:t>LA ORDENACIÓN FORESTAL</w:t>
      </w:r>
      <w:r>
        <w:t xml:space="preserve"> </w:t>
      </w:r>
      <w:r w:rsidR="00ED6770" w:rsidRPr="00143759">
        <w:t>INTEGRAL Y SOSTENIBLE COMO HERRAMIENTA DE APOYO PARA EL ABORDAJE DEL</w:t>
      </w:r>
      <w:r>
        <w:t xml:space="preserve"> </w:t>
      </w:r>
      <w:r w:rsidR="00ED6770" w:rsidRPr="00143759">
        <w:t xml:space="preserve"> CAMBIO CLIMÁTICO</w:t>
      </w:r>
      <w:r w:rsidR="00ED6770">
        <w:rPr>
          <w:rStyle w:val="Refdenotaalpie"/>
          <w:b/>
          <w:bCs w:val="0"/>
          <w:kern w:val="32"/>
          <w:szCs w:val="22"/>
        </w:rPr>
        <w:footnoteReference w:id="13"/>
      </w:r>
      <w:bookmarkEnd w:id="9"/>
    </w:p>
    <w:p w:rsidR="00ED6770" w:rsidRPr="00E06761" w:rsidRDefault="00ED6770" w:rsidP="00ED6770">
      <w:pPr>
        <w:autoSpaceDE w:val="0"/>
        <w:autoSpaceDN w:val="0"/>
        <w:adjustRightInd w:val="0"/>
        <w:rPr>
          <w:szCs w:val="25"/>
        </w:rPr>
      </w:pPr>
      <w:r w:rsidRPr="00E06761">
        <w:rPr>
          <w:szCs w:val="25"/>
        </w:rPr>
        <w:t xml:space="preserve">Considerado que una de las múltiples funciones que tienen los bosques es la regulación de dióxido de carbono, las actividades forestales </w:t>
      </w:r>
      <w:r w:rsidR="008833ED">
        <w:rPr>
          <w:szCs w:val="25"/>
        </w:rPr>
        <w:t xml:space="preserve">han sido </w:t>
      </w:r>
      <w:r w:rsidRPr="00E06761">
        <w:rPr>
          <w:szCs w:val="25"/>
        </w:rPr>
        <w:t>considerad</w:t>
      </w:r>
      <w:r w:rsidR="008833ED">
        <w:rPr>
          <w:szCs w:val="25"/>
        </w:rPr>
        <w:t>as</w:t>
      </w:r>
      <w:r w:rsidRPr="00E06761">
        <w:rPr>
          <w:szCs w:val="25"/>
        </w:rPr>
        <w:t xml:space="preserve"> como una opción de la mitigación al cambio climático. Inicialmente, en el marco del Protocolo de Kioto que entró en vigencia en el 2005, a través del Mecanismo de Desarrollo Limpio (MDL) fueron incluidos proyectos de reforestación. Posteriormente, considerando el rol que desempeñan los bosques naturales, en la </w:t>
      </w:r>
      <w:r w:rsidR="008833ED" w:rsidRPr="008833ED">
        <w:rPr>
          <w:szCs w:val="25"/>
        </w:rPr>
        <w:t>Convención Marco de las Naciones Unidas sobre el Cambio Climático</w:t>
      </w:r>
      <w:r w:rsidR="008833ED">
        <w:rPr>
          <w:szCs w:val="25"/>
        </w:rPr>
        <w:t xml:space="preserve"> –</w:t>
      </w:r>
      <w:r w:rsidRPr="00E06761">
        <w:rPr>
          <w:szCs w:val="25"/>
        </w:rPr>
        <w:t>CMNUCC</w:t>
      </w:r>
      <w:r w:rsidR="008833ED">
        <w:rPr>
          <w:szCs w:val="25"/>
        </w:rPr>
        <w:t>-</w:t>
      </w:r>
      <w:r w:rsidRPr="00E06761">
        <w:rPr>
          <w:szCs w:val="25"/>
        </w:rPr>
        <w:t xml:space="preserve"> se acordó que los países en desarrollo deben contribuir a la mitigación adoptando las siguientes medidas</w:t>
      </w:r>
      <w:r w:rsidR="008833ED">
        <w:rPr>
          <w:szCs w:val="25"/>
        </w:rPr>
        <w:t xml:space="preserve"> relacionadas con el Sector Forestal </w:t>
      </w:r>
      <w:r w:rsidRPr="00E06761">
        <w:rPr>
          <w:szCs w:val="25"/>
        </w:rPr>
        <w:t>:</w:t>
      </w:r>
    </w:p>
    <w:p w:rsidR="00ED6770" w:rsidRPr="00E06761" w:rsidRDefault="00ED6770" w:rsidP="00446ECB">
      <w:pPr>
        <w:pStyle w:val="Prrafodelista"/>
        <w:numPr>
          <w:ilvl w:val="0"/>
          <w:numId w:val="22"/>
        </w:numPr>
      </w:pPr>
      <w:r w:rsidRPr="00E06761">
        <w:t xml:space="preserve">La reducción de las emisiones debidas a la deforestación; </w:t>
      </w:r>
    </w:p>
    <w:p w:rsidR="00ED6770" w:rsidRPr="00E06761" w:rsidRDefault="00ED6770" w:rsidP="00446ECB">
      <w:pPr>
        <w:pStyle w:val="Prrafodelista"/>
        <w:numPr>
          <w:ilvl w:val="0"/>
          <w:numId w:val="22"/>
        </w:numPr>
      </w:pPr>
      <w:r w:rsidRPr="00E06761">
        <w:t xml:space="preserve">La reducción de las emisiones debidas a la degradación forestal; </w:t>
      </w:r>
    </w:p>
    <w:p w:rsidR="00ED6770" w:rsidRPr="00E06761" w:rsidRDefault="00ED6770" w:rsidP="00446ECB">
      <w:pPr>
        <w:pStyle w:val="Prrafodelista"/>
        <w:numPr>
          <w:ilvl w:val="0"/>
          <w:numId w:val="22"/>
        </w:numPr>
      </w:pPr>
      <w:r w:rsidRPr="00E06761">
        <w:lastRenderedPageBreak/>
        <w:t xml:space="preserve">La conservación de las reservas forestales de carbono; </w:t>
      </w:r>
    </w:p>
    <w:p w:rsidR="00ED6770" w:rsidRPr="00E06761" w:rsidRDefault="00ED6770" w:rsidP="00446ECB">
      <w:pPr>
        <w:pStyle w:val="Prrafodelista"/>
        <w:numPr>
          <w:ilvl w:val="0"/>
          <w:numId w:val="22"/>
        </w:numPr>
      </w:pPr>
      <w:r w:rsidRPr="00E06761">
        <w:t xml:space="preserve">La gestión sostenible de los bosques; </w:t>
      </w:r>
    </w:p>
    <w:p w:rsidR="00ED6770" w:rsidRPr="00E06761" w:rsidRDefault="00ED6770" w:rsidP="00446ECB">
      <w:pPr>
        <w:pStyle w:val="Prrafodelista"/>
        <w:numPr>
          <w:ilvl w:val="0"/>
          <w:numId w:val="22"/>
        </w:numPr>
      </w:pPr>
      <w:r w:rsidRPr="00E06761">
        <w:t xml:space="preserve">El incremento de las reservas forestales de carbono; </w:t>
      </w:r>
    </w:p>
    <w:p w:rsidR="006972E0" w:rsidRDefault="00ED6770" w:rsidP="007B1CC8">
      <w:r w:rsidRPr="00E06761">
        <w:t>Para el desarrollo de acciones REDD+</w:t>
      </w:r>
      <w:r w:rsidR="00AF13E1">
        <w:rPr>
          <w:rStyle w:val="Refdenotaalpie"/>
          <w:szCs w:val="25"/>
        </w:rPr>
        <w:footnoteReference w:id="14"/>
      </w:r>
      <w:r w:rsidR="007B1CC8">
        <w:t xml:space="preserve"> </w:t>
      </w:r>
      <w:r w:rsidRPr="00E06761">
        <w:t xml:space="preserve">los países deben implementar acciones tales como la formulación de planes o estrategias nacionales REDD+, el establecimiento de sistemas de monitoreo niveles de referencia de las emisiones y un sistema para proveer información de la forma como se están aplicando las salvaguardas para REDD+ que fueron definidas en la conferencia de las Partes de Cancún. </w:t>
      </w:r>
      <w:r w:rsidR="006972E0" w:rsidRPr="006972E0">
        <w:t>Adicionalmente los países han hecho énfasis en la conservación de la biodiversidad y el mejoramiento de la calidad de vida de las poblacio</w:t>
      </w:r>
      <w:r w:rsidR="007B1CC8">
        <w:t>nes que dependen de los bosques.</w:t>
      </w:r>
    </w:p>
    <w:p w:rsidR="00ED6770" w:rsidRPr="00E06761" w:rsidRDefault="00ED6770" w:rsidP="007B1CC8">
      <w:r w:rsidRPr="00E06761">
        <w:t>Para la implementación de REDD+ se deben tener en cuenta las siguientes salvaguardas</w:t>
      </w:r>
      <w:r w:rsidR="007A66CF">
        <w:rPr>
          <w:rStyle w:val="Refdenotaalpie"/>
          <w:szCs w:val="25"/>
        </w:rPr>
        <w:footnoteReference w:id="15"/>
      </w:r>
      <w:r w:rsidRPr="00E06761">
        <w:t>:</w:t>
      </w:r>
    </w:p>
    <w:p w:rsidR="00ED6770" w:rsidRPr="00E06761" w:rsidRDefault="00ED6770" w:rsidP="00446ECB">
      <w:pPr>
        <w:pStyle w:val="Prrafodelista"/>
        <w:numPr>
          <w:ilvl w:val="0"/>
          <w:numId w:val="23"/>
        </w:numPr>
      </w:pPr>
      <w:r w:rsidRPr="00E06761">
        <w:t>Complementariedad o compatibilidad de las medidas con los objetivos de los programas forestales nacionales y de las convenciones y los acuerdos internacionales sobre la materia.</w:t>
      </w:r>
    </w:p>
    <w:p w:rsidR="00ED6770" w:rsidRPr="00E06761" w:rsidRDefault="00ED6770" w:rsidP="00446ECB">
      <w:pPr>
        <w:pStyle w:val="Prrafodelista"/>
        <w:numPr>
          <w:ilvl w:val="0"/>
          <w:numId w:val="23"/>
        </w:numPr>
      </w:pPr>
      <w:r w:rsidRPr="00E06761">
        <w:t>Estructuras de gobernanza forestal nacional transparentes y efectivas tomando en cuenta la legislación nacional y la soberanía.</w:t>
      </w:r>
    </w:p>
    <w:p w:rsidR="00ED6770" w:rsidRPr="00E06761" w:rsidRDefault="00ED6770" w:rsidP="00446ECB">
      <w:pPr>
        <w:pStyle w:val="Prrafodelista"/>
        <w:numPr>
          <w:ilvl w:val="0"/>
          <w:numId w:val="23"/>
        </w:numPr>
      </w:pPr>
      <w:r w:rsidRPr="00E06761">
        <w:t>Respeto por el conocimiento y los derechos de los Pueblos Indígenas y los miembros de las comunidades locales, al tomar en cuenta las obligaciones internacionales pertinentes, las circunstancias y las leyes nacionales, teniendo presente que la Asamblea General de las Naciones Unidas ha adoptado la Declaración de las Naciones Unidas sobre los Derechos de los Pueblos Indígenas.</w:t>
      </w:r>
    </w:p>
    <w:p w:rsidR="00ED6770" w:rsidRPr="00E06761" w:rsidRDefault="00ED6770" w:rsidP="00446ECB">
      <w:pPr>
        <w:pStyle w:val="Prrafodelista"/>
        <w:numPr>
          <w:ilvl w:val="0"/>
          <w:numId w:val="23"/>
        </w:numPr>
      </w:pPr>
      <w:r w:rsidRPr="00E06761">
        <w:t>Una plena y efectiva participación de los actores involucrados pertinentes, especialmente los Pueblos Indígenas y las comunidades locales.</w:t>
      </w:r>
    </w:p>
    <w:p w:rsidR="00ED6770" w:rsidRPr="00E06761" w:rsidRDefault="00ED6770" w:rsidP="00446ECB">
      <w:pPr>
        <w:pStyle w:val="Prrafodelista"/>
        <w:numPr>
          <w:ilvl w:val="0"/>
          <w:numId w:val="23"/>
        </w:numPr>
      </w:pPr>
      <w:r w:rsidRPr="00E06761">
        <w:t>Las acciones son coherentes con la conservación de los bosques naturales y la diversidad biológica, velando por que no se utilicen para la conversión de bosques naturales, pero que en vez, se utilicen para incentivar la protección y conservación de los bosques naturales y sus servicios de ecosistemas, para aumentar otros beneficios sociales y ambientales.</w:t>
      </w:r>
    </w:p>
    <w:p w:rsidR="00ED6770" w:rsidRPr="00E06761" w:rsidRDefault="00ED6770" w:rsidP="00446ECB">
      <w:pPr>
        <w:pStyle w:val="Prrafodelista"/>
        <w:numPr>
          <w:ilvl w:val="0"/>
          <w:numId w:val="23"/>
        </w:numPr>
      </w:pPr>
      <w:r w:rsidRPr="00E06761">
        <w:t>Acciones para abordar los riesgos de las reversiones.</w:t>
      </w:r>
    </w:p>
    <w:p w:rsidR="00ED6770" w:rsidRPr="00E06761" w:rsidRDefault="00ED6770" w:rsidP="00446ECB">
      <w:pPr>
        <w:pStyle w:val="Prrafodelista"/>
        <w:numPr>
          <w:ilvl w:val="0"/>
          <w:numId w:val="23"/>
        </w:numPr>
      </w:pPr>
      <w:r w:rsidRPr="00E06761">
        <w:t>Medidas para reducir el desplazamiento de emisiones.</w:t>
      </w:r>
    </w:p>
    <w:p w:rsidR="00ED6770" w:rsidRPr="00E06761" w:rsidRDefault="00ED6770" w:rsidP="00C9008F">
      <w:pPr>
        <w:spacing w:before="120"/>
      </w:pPr>
      <w:r w:rsidRPr="00E06761">
        <w:t>En el marco de la preparación de la Estrategia Nacional REDD+, se han identificado las siguientes opciones estratégicas:</w:t>
      </w:r>
    </w:p>
    <w:p w:rsidR="00ED6770" w:rsidRPr="00E06761" w:rsidRDefault="00ED6770" w:rsidP="00446ECB">
      <w:pPr>
        <w:pStyle w:val="Prrafodelista"/>
        <w:numPr>
          <w:ilvl w:val="0"/>
          <w:numId w:val="24"/>
        </w:numPr>
      </w:pPr>
      <w:r w:rsidRPr="00E06761">
        <w:tab/>
        <w:t>Ordenamiento Ambiental del Territorio.</w:t>
      </w:r>
    </w:p>
    <w:p w:rsidR="00ED6770" w:rsidRPr="00E06761" w:rsidRDefault="00ED6770" w:rsidP="00446ECB">
      <w:pPr>
        <w:pStyle w:val="Prrafodelista"/>
        <w:numPr>
          <w:ilvl w:val="0"/>
          <w:numId w:val="24"/>
        </w:numPr>
      </w:pPr>
      <w:r w:rsidRPr="00E06761">
        <w:tab/>
        <w:t>Fortalecimiento de las capacidades de las comunidades en la gestión para la conservación de bosques.</w:t>
      </w:r>
    </w:p>
    <w:p w:rsidR="00ED6770" w:rsidRPr="00E06761" w:rsidRDefault="00ED6770" w:rsidP="00446ECB">
      <w:pPr>
        <w:pStyle w:val="Prrafodelista"/>
        <w:numPr>
          <w:ilvl w:val="0"/>
          <w:numId w:val="24"/>
        </w:numPr>
      </w:pPr>
      <w:r w:rsidRPr="00E06761">
        <w:tab/>
        <w:t>Promoción de la ordenación, manejo sostenible, protección y restauración de ecosistemas forestales.</w:t>
      </w:r>
    </w:p>
    <w:p w:rsidR="00ED6770" w:rsidRPr="00E06761" w:rsidRDefault="00ED6770" w:rsidP="00446ECB">
      <w:pPr>
        <w:pStyle w:val="Prrafodelista"/>
        <w:numPr>
          <w:ilvl w:val="0"/>
          <w:numId w:val="24"/>
        </w:numPr>
      </w:pPr>
      <w:r w:rsidRPr="00E06761">
        <w:tab/>
        <w:t>Fortalecimiento de la gobernanza forestal.</w:t>
      </w:r>
    </w:p>
    <w:p w:rsidR="00ED6770" w:rsidRPr="00E06761" w:rsidRDefault="00ED6770" w:rsidP="00446ECB">
      <w:pPr>
        <w:pStyle w:val="Prrafodelista"/>
        <w:numPr>
          <w:ilvl w:val="0"/>
          <w:numId w:val="24"/>
        </w:numPr>
      </w:pPr>
      <w:r w:rsidRPr="00E06761">
        <w:tab/>
        <w:t>Desarrollo de instrumentos económicos, pagos por servicios ambientales y mercados verdes para la promoción de la conservación de los bosques.</w:t>
      </w:r>
    </w:p>
    <w:p w:rsidR="00ED6770" w:rsidRPr="00E06761" w:rsidRDefault="00ED6770" w:rsidP="00446ECB">
      <w:pPr>
        <w:pStyle w:val="Prrafodelista"/>
        <w:numPr>
          <w:ilvl w:val="0"/>
          <w:numId w:val="24"/>
        </w:numPr>
      </w:pPr>
      <w:r w:rsidRPr="00E06761">
        <w:tab/>
        <w:t>Promoción de prácticas sostenibles en el desarrollo de actividades sectoriales (agrícolas, pecuarias, mineras, infraestructura, petrolera, turismo).</w:t>
      </w:r>
    </w:p>
    <w:p w:rsidR="00ED6770" w:rsidRPr="00E06761" w:rsidRDefault="00ED6770" w:rsidP="00446ECB">
      <w:pPr>
        <w:pStyle w:val="Prrafodelista"/>
        <w:numPr>
          <w:ilvl w:val="0"/>
          <w:numId w:val="24"/>
        </w:numPr>
      </w:pPr>
      <w:r w:rsidRPr="00E06761">
        <w:tab/>
        <w:t>Promoción de la gestión en el sistema nacional de áreas protegidas y sus zonas de amortiguación.</w:t>
      </w:r>
    </w:p>
    <w:p w:rsidR="00ED6770" w:rsidRPr="00E06761" w:rsidRDefault="00ED6770" w:rsidP="00446ECB">
      <w:pPr>
        <w:pStyle w:val="Prrafodelista"/>
        <w:numPr>
          <w:ilvl w:val="0"/>
          <w:numId w:val="24"/>
        </w:numPr>
      </w:pPr>
      <w:r w:rsidRPr="00E06761">
        <w:tab/>
        <w:t>Promoción de las acciones de conservación y manejo sostenible dentro de programa de desarrollo de alter</w:t>
      </w:r>
      <w:r w:rsidR="00AE33B1">
        <w:t>n</w:t>
      </w:r>
      <w:r w:rsidRPr="00E06761">
        <w:t xml:space="preserve">ativo en </w:t>
      </w:r>
      <w:r w:rsidR="00AE33B1">
        <w:t xml:space="preserve">el marco de la lucha contra los </w:t>
      </w:r>
      <w:r w:rsidRPr="00E06761">
        <w:t>cultivos ilícitos.</w:t>
      </w:r>
    </w:p>
    <w:p w:rsidR="00ED6770" w:rsidRDefault="00ED6770" w:rsidP="00C9008F">
      <w:r w:rsidRPr="00E06761">
        <w:t>El desarrollo de REDD+ en Colombia tiene una enorme relación con las acciones que en materia de gobernanza y</w:t>
      </w:r>
      <w:r w:rsidR="007B1CC8">
        <w:t xml:space="preserve"> </w:t>
      </w:r>
      <w:r w:rsidRPr="00E06761">
        <w:t xml:space="preserve">ordenación forestal </w:t>
      </w:r>
      <w:r w:rsidR="00101F4F">
        <w:t>se vienen trabajando</w:t>
      </w:r>
      <w:r w:rsidRPr="00E06761">
        <w:t>. Con esto se puede reafirmar que las acciones REDD+ se constituyen en un medio para contribuir a</w:t>
      </w:r>
      <w:r w:rsidR="0022349B">
        <w:t>l</w:t>
      </w:r>
      <w:r w:rsidRPr="00E06761">
        <w:t xml:space="preserve"> manejo forestal sostenible. </w:t>
      </w:r>
      <w:r w:rsidR="00F62E74">
        <w:t>Entre los</w:t>
      </w:r>
      <w:r w:rsidRPr="00E06761">
        <w:t xml:space="preserve"> avances </w:t>
      </w:r>
      <w:r w:rsidR="00F62E74">
        <w:t>alcanzados</w:t>
      </w:r>
      <w:r w:rsidRPr="00E06761">
        <w:t xml:space="preserve"> en el marco de REDD+ y que contribuyen a las acciones de ordenación forestal</w:t>
      </w:r>
      <w:r w:rsidR="00F62E74">
        <w:t xml:space="preserve"> se cuenta con </w:t>
      </w:r>
      <w:r w:rsidRPr="00E06761">
        <w:t xml:space="preserve">el establecimiento del Sistema de Monitoreo de Bosques y Carbono que ha impulsado el IDEAM, con el que se ha permitido obtener información sistemática periódica de la superficie de bosques del país y de las tasas de deforestación. </w:t>
      </w:r>
      <w:r w:rsidR="00F62E74">
        <w:t xml:space="preserve">En el mismo sentido se destaca el </w:t>
      </w:r>
      <w:r w:rsidR="00F62E74">
        <w:lastRenderedPageBreak/>
        <w:t>significativo avance del proceso de planificación del Inventario Forestal Nacional, en cabeza del MADS y el IDEAM.</w:t>
      </w:r>
    </w:p>
    <w:p w:rsidR="0022349B" w:rsidRDefault="00ED6770" w:rsidP="00C9008F">
      <w:r>
        <w:t xml:space="preserve">Durante la </w:t>
      </w:r>
      <w:r w:rsidR="0022349B">
        <w:t>Novena S</w:t>
      </w:r>
      <w:r>
        <w:t>esi</w:t>
      </w:r>
      <w:r w:rsidR="0022349B">
        <w:t>ón del Comité F</w:t>
      </w:r>
      <w:r w:rsidRPr="00E06761">
        <w:t xml:space="preserve">orestal de la Organización de las Naciones Unidas para la Alimentación </w:t>
      </w:r>
      <w:r>
        <w:t xml:space="preserve">y la </w:t>
      </w:r>
      <w:r w:rsidRPr="00E06761">
        <w:t>Agricultura [FAO], celebrada del 16 al 20 de marzo del 2009, se abordaron los aspectos relacionados con la Ordenación Forestal Sostenible</w:t>
      </w:r>
      <w:r w:rsidR="007B1CC8">
        <w:t xml:space="preserve"> </w:t>
      </w:r>
      <w:r w:rsidR="00547A98">
        <w:t>[OF</w:t>
      </w:r>
      <w:r w:rsidRPr="00E06761">
        <w:t>S] y el Cambio Climático. (FAO 2009). La agenda se divid</w:t>
      </w:r>
      <w:r w:rsidR="0022349B">
        <w:t>ió</w:t>
      </w:r>
      <w:r w:rsidRPr="00E06761">
        <w:t xml:space="preserve"> en dos grandes </w:t>
      </w:r>
      <w:r w:rsidR="00AE33B1">
        <w:t>temas,</w:t>
      </w:r>
      <w:r w:rsidRPr="00E06761">
        <w:t xml:space="preserve"> de los cuales se destacan los </w:t>
      </w:r>
      <w:r w:rsidR="0022349B">
        <w:t>siguientes</w:t>
      </w:r>
      <w:r w:rsidR="00AE33B1">
        <w:t xml:space="preserve"> aspectos</w:t>
      </w:r>
      <w:r w:rsidR="0022349B">
        <w:t>:</w:t>
      </w:r>
    </w:p>
    <w:p w:rsidR="0022349B" w:rsidRDefault="00ED6770" w:rsidP="00446ECB">
      <w:pPr>
        <w:pStyle w:val="Prrafodelista"/>
        <w:numPr>
          <w:ilvl w:val="0"/>
          <w:numId w:val="25"/>
        </w:numPr>
      </w:pPr>
      <w:r w:rsidRPr="0022349B">
        <w:t>En relación al mecanismo REDD plus, se destacó la inclusión de la ordenación forestal como herramienta de manejo para propender por el aumento y conservación de stocks de carbono en los bosqu</w:t>
      </w:r>
      <w:r w:rsidR="00C9008F">
        <w:t>es de los países en desarrollo.</w:t>
      </w:r>
    </w:p>
    <w:p w:rsidR="00ED6770" w:rsidRPr="0022349B" w:rsidRDefault="0022349B" w:rsidP="00446ECB">
      <w:pPr>
        <w:pStyle w:val="Prrafodelista"/>
        <w:numPr>
          <w:ilvl w:val="0"/>
          <w:numId w:val="25"/>
        </w:numPr>
      </w:pPr>
      <w:r>
        <w:t>S</w:t>
      </w:r>
      <w:r w:rsidR="00ED6770" w:rsidRPr="0022349B">
        <w:t>e propuso incluir en el mecanismo, pautas para abordar la adaptación de los bosques al cambio climático, y no únicame</w:t>
      </w:r>
      <w:r w:rsidR="00C9008F">
        <w:t>nte opciones para su mitigación.</w:t>
      </w:r>
    </w:p>
    <w:p w:rsidR="00ED6770" w:rsidRDefault="00ED6770" w:rsidP="00C9008F">
      <w:r w:rsidRPr="00E06761">
        <w:t xml:space="preserve">Por otra parte, en la </w:t>
      </w:r>
      <w:r w:rsidR="0022349B">
        <w:t>Octava S</w:t>
      </w:r>
      <w:r w:rsidRPr="00E06761">
        <w:t xml:space="preserve">esión del Foro de las Naciones Unidas sobre los Bosques [FNUB] (abril de 2009), se abordó de modo holístico los vínculos entre cambio climático, biodiversidad, deforestación y </w:t>
      </w:r>
      <w:r w:rsidR="00215FCA">
        <w:t>OFS</w:t>
      </w:r>
      <w:r w:rsidRPr="00E06761">
        <w:t xml:space="preserve"> en relación con el tema de “</w:t>
      </w:r>
      <w:r w:rsidRPr="00565FF2">
        <w:rPr>
          <w:i/>
        </w:rPr>
        <w:t>los bosques en un entorno cambiante</w:t>
      </w:r>
      <w:r w:rsidRPr="00E06761">
        <w:t>” y “</w:t>
      </w:r>
      <w:r w:rsidRPr="00565FF2">
        <w:rPr>
          <w:i/>
        </w:rPr>
        <w:t>los bosques y el cambio climático</w:t>
      </w:r>
      <w:r w:rsidRPr="00E06761">
        <w:t xml:space="preserve">”. En relación con la ordenación de los bosques naturales y el cambio climático, se obtuvo las siguientes conclusiones: </w:t>
      </w:r>
    </w:p>
    <w:p w:rsidR="00ED6770" w:rsidRPr="00C9008F" w:rsidRDefault="00A00809" w:rsidP="00446ECB">
      <w:pPr>
        <w:pStyle w:val="Prrafodelista"/>
        <w:numPr>
          <w:ilvl w:val="0"/>
          <w:numId w:val="26"/>
        </w:numPr>
        <w:rPr>
          <w:szCs w:val="25"/>
        </w:rPr>
      </w:pPr>
      <w:r w:rsidRPr="00C9008F">
        <w:rPr>
          <w:szCs w:val="25"/>
        </w:rPr>
        <w:t>1ª)</w:t>
      </w:r>
      <w:r w:rsidR="00ED6770" w:rsidRPr="00C9008F">
        <w:rPr>
          <w:szCs w:val="25"/>
        </w:rPr>
        <w:tab/>
        <w:t xml:space="preserve">Así como las emisiones </w:t>
      </w:r>
      <w:r w:rsidR="00137D75" w:rsidRPr="00C9008F">
        <w:rPr>
          <w:szCs w:val="25"/>
        </w:rPr>
        <w:t>de gases de efecto invernadero,</w:t>
      </w:r>
      <w:r w:rsidR="00ED6770" w:rsidRPr="00C9008F">
        <w:rPr>
          <w:szCs w:val="25"/>
        </w:rPr>
        <w:t xml:space="preserve"> derivadas de la deforestación y la degradación de los bosques pueden contribuir al cambio climático, de la misma forma la ordenación sostenible puede ayudar a mitigarlo mediante la retención de carbono; </w:t>
      </w:r>
    </w:p>
    <w:p w:rsidR="00ED6770" w:rsidRPr="00C9008F" w:rsidRDefault="00A00809" w:rsidP="00446ECB">
      <w:pPr>
        <w:pStyle w:val="Prrafodelista"/>
        <w:numPr>
          <w:ilvl w:val="0"/>
          <w:numId w:val="26"/>
        </w:numPr>
        <w:rPr>
          <w:szCs w:val="25"/>
        </w:rPr>
      </w:pPr>
      <w:r w:rsidRPr="00C9008F">
        <w:rPr>
          <w:szCs w:val="25"/>
        </w:rPr>
        <w:t>2ª)</w:t>
      </w:r>
      <w:r w:rsidR="00ED6770" w:rsidRPr="00C9008F">
        <w:rPr>
          <w:szCs w:val="25"/>
        </w:rPr>
        <w:tab/>
        <w:t xml:space="preserve">La mejor oportunidad que el Foro sobre los Bosques y sus Estados miembros tienen de contribuir a las metas globales sobre para abordar el cambio climático, radica en la promoción de la ordenación sostenible de los bosques como medida de mitigación y adaptación. </w:t>
      </w:r>
    </w:p>
    <w:p w:rsidR="00ED6770" w:rsidRPr="00C9008F" w:rsidRDefault="00ED6770" w:rsidP="00446ECB">
      <w:pPr>
        <w:pStyle w:val="Prrafodelista"/>
        <w:numPr>
          <w:ilvl w:val="0"/>
          <w:numId w:val="26"/>
        </w:numPr>
        <w:rPr>
          <w:szCs w:val="25"/>
        </w:rPr>
      </w:pPr>
      <w:r w:rsidRPr="00C9008F">
        <w:rPr>
          <w:szCs w:val="25"/>
        </w:rPr>
        <w:t xml:space="preserve">Es necesario proporcionar asistencia técnica y reforzar la capacidad de los países para aplicar los principios de la Ordenación Forestal </w:t>
      </w:r>
      <w:r w:rsidR="0022349B" w:rsidRPr="00C9008F">
        <w:rPr>
          <w:szCs w:val="25"/>
        </w:rPr>
        <w:t>Sostenible a la mitigación y ada</w:t>
      </w:r>
      <w:r w:rsidRPr="00C9008F">
        <w:rPr>
          <w:szCs w:val="25"/>
        </w:rPr>
        <w:t xml:space="preserve">ptación al cambio climático, realizando inventarios forestales, monitoreando las existencias de carbono, formulando proyectos relativos a la reducción de emisiones y accediendo a los mercados conexos. </w:t>
      </w:r>
    </w:p>
    <w:p w:rsidR="00ED6770" w:rsidRPr="00C9008F" w:rsidRDefault="00ED6770" w:rsidP="00446ECB">
      <w:pPr>
        <w:pStyle w:val="Prrafodelista"/>
        <w:numPr>
          <w:ilvl w:val="0"/>
          <w:numId w:val="26"/>
        </w:numPr>
        <w:rPr>
          <w:szCs w:val="25"/>
        </w:rPr>
      </w:pPr>
      <w:r w:rsidRPr="00C9008F">
        <w:rPr>
          <w:szCs w:val="25"/>
        </w:rPr>
        <w:tab/>
        <w:t xml:space="preserve">La ordenación sostenible de los bosques también puede ayudar a enfrentar otros problemas ambientales, sociales y económicos. En este contexto, el resultado de las negociaciones conducidas en el Foro sobre la financiación de la ordenación sostenible de los bosques puede ser una aportación sustantiva a las negociaciones sobre el cambio climático. </w:t>
      </w:r>
    </w:p>
    <w:p w:rsidR="00ED6770" w:rsidRPr="00C9008F" w:rsidRDefault="00ED6770" w:rsidP="00446ECB">
      <w:pPr>
        <w:pStyle w:val="Prrafodelista"/>
        <w:numPr>
          <w:ilvl w:val="0"/>
          <w:numId w:val="26"/>
        </w:numPr>
        <w:rPr>
          <w:szCs w:val="25"/>
        </w:rPr>
      </w:pPr>
      <w:r w:rsidRPr="00C9008F">
        <w:rPr>
          <w:szCs w:val="25"/>
        </w:rPr>
        <w:tab/>
        <w:t>Según FAO (2009), OIMT (2008; 2009) y CIFOR (Angelsen et al 2009), es importante reconocer los conocimientos y experiencia sobre el manejo y ordenación forestal con el objeto de aprovecharlos y ampliarlos para afrontar el cambio climático. Igualmente reiteran que la ordenación forestal significa una meta difícil de alcanzar, especialmente para los países en desarrollo que carecen de recursos financieros y humanos adecuados.</w:t>
      </w:r>
    </w:p>
    <w:p w:rsidR="00ED6770" w:rsidRPr="00C9008F" w:rsidRDefault="00ED6770" w:rsidP="00446ECB">
      <w:pPr>
        <w:pStyle w:val="Prrafodelista"/>
        <w:numPr>
          <w:ilvl w:val="0"/>
          <w:numId w:val="26"/>
        </w:numPr>
        <w:rPr>
          <w:szCs w:val="25"/>
        </w:rPr>
      </w:pPr>
      <w:r w:rsidRPr="00C9008F">
        <w:rPr>
          <w:szCs w:val="25"/>
        </w:rPr>
        <w:tab/>
        <w:t>Según lo expuesto, existe consenso sobre los beneficios de la ordenación forestal como herramienta para facilitar la mitigación y adaptación al cambio climático, sin embargo, es necesario formalizar esta voluntad política bajo tres escenarios, con el objeto de orientar e</w:t>
      </w:r>
      <w:r w:rsidR="007B1CC8" w:rsidRPr="00C9008F">
        <w:rPr>
          <w:szCs w:val="25"/>
        </w:rPr>
        <w:t xml:space="preserve"> </w:t>
      </w:r>
      <w:r w:rsidRPr="00C9008F">
        <w:rPr>
          <w:szCs w:val="25"/>
        </w:rPr>
        <w:t xml:space="preserve">implementar acciones desde el ámbito del sector forestal: </w:t>
      </w:r>
    </w:p>
    <w:p w:rsidR="00ED6770" w:rsidRPr="00A00809" w:rsidRDefault="00ED6770" w:rsidP="00446ECB">
      <w:pPr>
        <w:pStyle w:val="Prrafodelista"/>
        <w:numPr>
          <w:ilvl w:val="0"/>
          <w:numId w:val="27"/>
        </w:numPr>
      </w:pPr>
      <w:r w:rsidRPr="00A00809">
        <w:t>Reconocimiento oficial de las actividades de ordenación forestal como actividad legitima para reducir</w:t>
      </w:r>
      <w:r w:rsidR="007B1CC8">
        <w:t xml:space="preserve"> </w:t>
      </w:r>
      <w:r w:rsidRPr="00A00809">
        <w:t xml:space="preserve">emisiones GEI en el segundo periodo de compromiso del Protocolo de Kyoto [REDD-plus]; </w:t>
      </w:r>
    </w:p>
    <w:p w:rsidR="00ED6770" w:rsidRPr="00A00809" w:rsidRDefault="00ED6770" w:rsidP="00446ECB">
      <w:pPr>
        <w:pStyle w:val="Prrafodelista"/>
        <w:numPr>
          <w:ilvl w:val="0"/>
          <w:numId w:val="27"/>
        </w:numPr>
      </w:pPr>
      <w:r w:rsidRPr="00A00809">
        <w:t xml:space="preserve">Actualización de los criterios e indicadores de ordenación forestal según OIMT y su posterior adopción por parte de los países [se prevé que el cambio climático sea un nuevo criterio]; </w:t>
      </w:r>
    </w:p>
    <w:p w:rsidR="00ED6770" w:rsidRPr="00A00809" w:rsidRDefault="00ED6770" w:rsidP="00446ECB">
      <w:pPr>
        <w:pStyle w:val="Prrafodelista"/>
        <w:numPr>
          <w:ilvl w:val="0"/>
          <w:numId w:val="27"/>
        </w:numPr>
      </w:pPr>
      <w:r w:rsidRPr="00A00809">
        <w:t>Integración de la política fo</w:t>
      </w:r>
      <w:r w:rsidR="00C9008F">
        <w:t>restal con el cambio climático.</w:t>
      </w:r>
    </w:p>
    <w:p w:rsidR="00ED6770" w:rsidRDefault="00A00809" w:rsidP="00C9008F">
      <w:r>
        <w:t>Todo l</w:t>
      </w:r>
      <w:r w:rsidR="00ED6770" w:rsidRPr="00E06761">
        <w:t xml:space="preserve">o anteriormente expuesto </w:t>
      </w:r>
      <w:r w:rsidR="00565FF2">
        <w:t>ha reforzado</w:t>
      </w:r>
      <w:r w:rsidR="00ED6770" w:rsidRPr="00E06761">
        <w:t xml:space="preserve"> </w:t>
      </w:r>
      <w:r w:rsidR="00565FF2">
        <w:t xml:space="preserve">la </w:t>
      </w:r>
      <w:r w:rsidR="00ED6770" w:rsidRPr="00E06761">
        <w:t xml:space="preserve">necesidad y </w:t>
      </w:r>
      <w:r w:rsidR="00AE33B1">
        <w:t xml:space="preserve">la </w:t>
      </w:r>
      <w:r w:rsidR="00ED6770" w:rsidRPr="00E06761">
        <w:t>oportunidad de incluir el tema de los servicios ambientales</w:t>
      </w:r>
      <w:r w:rsidR="00565FF2">
        <w:t xml:space="preserve"> </w:t>
      </w:r>
      <w:r w:rsidR="00ED6770" w:rsidRPr="00E06761">
        <w:t>en la formulación e implementación de ordenación integral y sostenible en Colombia</w:t>
      </w:r>
      <w:r w:rsidR="00565FF2">
        <w:t xml:space="preserve">, </w:t>
      </w:r>
      <w:r w:rsidR="00565FF2" w:rsidRPr="00E06761">
        <w:t>con énfasis inicial en el almacenamiento de</w:t>
      </w:r>
      <w:r w:rsidR="007B1CC8">
        <w:t xml:space="preserve"> </w:t>
      </w:r>
      <w:r w:rsidR="00565FF2" w:rsidRPr="00E06761">
        <w:t>carbono</w:t>
      </w:r>
      <w:r w:rsidR="00565FF2">
        <w:t>; puesto que se constituye en</w:t>
      </w:r>
      <w:r w:rsidR="007B1CC8">
        <w:t xml:space="preserve"> </w:t>
      </w:r>
      <w:r w:rsidR="00ED6770" w:rsidRPr="00E06761">
        <w:t xml:space="preserve">plataforma de trabajo y gestión para acciones relacionadas con la adaptación y mitigación al campo climático, incluyendo </w:t>
      </w:r>
      <w:r w:rsidR="00AE33B1">
        <w:t xml:space="preserve">las iniciativas </w:t>
      </w:r>
      <w:r w:rsidR="00ED6770" w:rsidRPr="00E06761">
        <w:t>REDD</w:t>
      </w:r>
      <w:r w:rsidR="00AE33B1">
        <w:t>+</w:t>
      </w:r>
      <w:r w:rsidR="00ED6770" w:rsidRPr="00E06761">
        <w:t>, desde la gestión de las Autoridades Ambientales Regionales bajo las directrices y lineamientos del MADS.</w:t>
      </w:r>
    </w:p>
    <w:p w:rsidR="006D1EF9" w:rsidRPr="00C0397A" w:rsidRDefault="00A4749D" w:rsidP="00C9008F">
      <w:pPr>
        <w:pStyle w:val="Ttulo1"/>
      </w:pPr>
      <w:bookmarkStart w:id="10" w:name="_Toc23137159"/>
      <w:r>
        <w:lastRenderedPageBreak/>
        <w:t>4</w:t>
      </w:r>
      <w:r w:rsidR="006D1EF9" w:rsidRPr="00E12250">
        <w:t>.</w:t>
      </w:r>
      <w:r w:rsidR="007B1CC8">
        <w:t xml:space="preserve"> </w:t>
      </w:r>
      <w:r w:rsidR="00294729">
        <w:t xml:space="preserve">RECURSOS </w:t>
      </w:r>
      <w:r w:rsidR="006D1EF9" w:rsidRPr="00C0397A">
        <w:t>OBJETO DE LA ORDENACIÓN FORESTAL INTEGRAL Y SOSTENIBLE</w:t>
      </w:r>
      <w:bookmarkEnd w:id="10"/>
    </w:p>
    <w:p w:rsidR="00C0397A" w:rsidRPr="006660F5" w:rsidRDefault="00C9008F" w:rsidP="00C9008F">
      <w:pPr>
        <w:pStyle w:val="Ttulo2"/>
        <w:rPr>
          <w:lang w:val="es-CO"/>
        </w:rPr>
      </w:pPr>
      <w:bookmarkStart w:id="11" w:name="_Toc23137160"/>
      <w:r>
        <w:rPr>
          <w:lang w:val="es-CO"/>
        </w:rPr>
        <w:t xml:space="preserve">4.1. </w:t>
      </w:r>
      <w:r w:rsidR="006660F5" w:rsidRPr="006660F5">
        <w:rPr>
          <w:lang w:val="es-CO"/>
        </w:rPr>
        <w:t>TIERRAS DE VOCACIÓN FORESTAL Y AGROFORESTAL</w:t>
      </w:r>
      <w:bookmarkEnd w:id="11"/>
    </w:p>
    <w:p w:rsidR="0020516F" w:rsidRDefault="006D1EF9" w:rsidP="00C9008F">
      <w:pPr>
        <w:rPr>
          <w:lang w:val="es-CO"/>
        </w:rPr>
      </w:pPr>
      <w:r w:rsidRPr="008B3AD7">
        <w:rPr>
          <w:lang w:val="es-CO"/>
        </w:rPr>
        <w:t>Las áreas objeto de la ordenación forestal integral y sostenible son</w:t>
      </w:r>
      <w:r>
        <w:rPr>
          <w:lang w:val="es-CO"/>
        </w:rPr>
        <w:t xml:space="preserve"> lo</w:t>
      </w:r>
      <w:r w:rsidRPr="008B3AD7">
        <w:rPr>
          <w:lang w:val="es-CO"/>
        </w:rPr>
        <w:t xml:space="preserve">s </w:t>
      </w:r>
      <w:r>
        <w:rPr>
          <w:lang w:val="es-CO"/>
        </w:rPr>
        <w:t>68.262.070</w:t>
      </w:r>
      <w:r w:rsidRPr="008B3AD7">
        <w:rPr>
          <w:lang w:val="es-CO"/>
        </w:rPr>
        <w:t xml:space="preserve"> de hectáreas de tierras </w:t>
      </w:r>
      <w:r w:rsidR="00783302">
        <w:rPr>
          <w:lang w:val="es-CO"/>
        </w:rPr>
        <w:t xml:space="preserve">de </w:t>
      </w:r>
      <w:r w:rsidRPr="008B3AD7">
        <w:rPr>
          <w:lang w:val="es-CO"/>
        </w:rPr>
        <w:t>vocación forestal y agroforestal que posee Colombia (con o sin cobertura natural), las cuales equivalen</w:t>
      </w:r>
      <w:r>
        <w:rPr>
          <w:lang w:val="es-CO"/>
        </w:rPr>
        <w:t xml:space="preserve"> al 59,8% del territorio nacional</w:t>
      </w:r>
      <w:r w:rsidR="00C9008F">
        <w:rPr>
          <w:lang w:val="es-CO"/>
        </w:rPr>
        <w:t xml:space="preserve"> (</w:t>
      </w:r>
      <w:r w:rsidR="00C9008F">
        <w:rPr>
          <w:lang w:val="es-CO"/>
        </w:rPr>
        <w:fldChar w:fldCharType="begin"/>
      </w:r>
      <w:r w:rsidR="00C9008F">
        <w:rPr>
          <w:lang w:val="es-CO"/>
        </w:rPr>
        <w:instrText xml:space="preserve"> REF _Ref20686135 \h </w:instrText>
      </w:r>
      <w:r w:rsidR="00C9008F">
        <w:rPr>
          <w:lang w:val="es-CO"/>
        </w:rPr>
      </w:r>
      <w:r w:rsidR="00C9008F">
        <w:rPr>
          <w:lang w:val="es-CO"/>
        </w:rPr>
        <w:fldChar w:fldCharType="separate"/>
      </w:r>
      <w:r w:rsidR="00C9008F">
        <w:t xml:space="preserve">Tabla </w:t>
      </w:r>
      <w:r w:rsidR="00C9008F">
        <w:rPr>
          <w:noProof/>
        </w:rPr>
        <w:t>3</w:t>
      </w:r>
      <w:r w:rsidR="00C9008F">
        <w:rPr>
          <w:lang w:val="es-CO"/>
        </w:rPr>
        <w:fldChar w:fldCharType="end"/>
      </w:r>
      <w:r w:rsidR="00C9008F">
        <w:rPr>
          <w:lang w:val="es-CO"/>
        </w:rPr>
        <w:t>).</w:t>
      </w:r>
    </w:p>
    <w:p w:rsidR="006D1EF9" w:rsidRPr="00E30F2C" w:rsidRDefault="00C9008F" w:rsidP="00C9008F">
      <w:pPr>
        <w:pStyle w:val="Epgrafe"/>
        <w:rPr>
          <w:szCs w:val="18"/>
          <w:lang w:val="es-CO"/>
        </w:rPr>
      </w:pPr>
      <w:bookmarkStart w:id="12" w:name="_Ref20686135"/>
      <w:bookmarkStart w:id="13" w:name="_Toc23137182"/>
      <w:r>
        <w:t xml:space="preserve">Tabla </w:t>
      </w:r>
      <w:r>
        <w:fldChar w:fldCharType="begin"/>
      </w:r>
      <w:r>
        <w:instrText xml:space="preserve"> SEQ Tabla \* ARABIC </w:instrText>
      </w:r>
      <w:r>
        <w:fldChar w:fldCharType="separate"/>
      </w:r>
      <w:r w:rsidR="00B2203B">
        <w:rPr>
          <w:noProof/>
        </w:rPr>
        <w:t>3</w:t>
      </w:r>
      <w:r>
        <w:fldChar w:fldCharType="end"/>
      </w:r>
      <w:bookmarkEnd w:id="12"/>
      <w:r>
        <w:t xml:space="preserve">. </w:t>
      </w:r>
      <w:r w:rsidR="006D1EF9">
        <w:rPr>
          <w:szCs w:val="18"/>
          <w:lang w:val="es-CO"/>
        </w:rPr>
        <w:t>Tierras</w:t>
      </w:r>
      <w:r w:rsidR="006D1EF9" w:rsidRPr="00E30F2C">
        <w:rPr>
          <w:szCs w:val="18"/>
          <w:lang w:val="es-CO"/>
        </w:rPr>
        <w:t xml:space="preserve"> de Vocación Forestal y Agroforestal Objeto de la Ordenación Forestal Integral y Sostenible en Colombia</w:t>
      </w:r>
      <w:r w:rsidR="006D1EF9" w:rsidRPr="00E30F2C">
        <w:rPr>
          <w:sz w:val="22"/>
          <w:szCs w:val="22"/>
          <w:vertAlign w:val="superscript"/>
          <w:lang w:val="es-CO"/>
        </w:rPr>
        <w:footnoteReference w:id="16"/>
      </w:r>
      <w:bookmarkEnd w:id="13"/>
    </w:p>
    <w:tbl>
      <w:tblPr>
        <w:tblStyle w:val="Tablaconcuadrcula5"/>
        <w:tblW w:w="5000" w:type="pct"/>
        <w:tblLook w:val="04A0" w:firstRow="1" w:lastRow="0" w:firstColumn="1" w:lastColumn="0" w:noHBand="0" w:noVBand="1"/>
      </w:tblPr>
      <w:tblGrid>
        <w:gridCol w:w="2172"/>
        <w:gridCol w:w="4342"/>
        <w:gridCol w:w="2824"/>
      </w:tblGrid>
      <w:tr w:rsidR="00C0397A" w:rsidRPr="00C9008F" w:rsidTr="00C9008F">
        <w:trPr>
          <w:trHeight w:val="284"/>
        </w:trPr>
        <w:tc>
          <w:tcPr>
            <w:tcW w:w="1163" w:type="pct"/>
            <w:shd w:val="clear" w:color="auto" w:fill="C2D69B" w:themeFill="accent3" w:themeFillTint="99"/>
            <w:vAlign w:val="center"/>
          </w:tcPr>
          <w:p w:rsidR="00C0397A" w:rsidRPr="00C9008F" w:rsidRDefault="00C9008F" w:rsidP="00C9008F">
            <w:pPr>
              <w:jc w:val="center"/>
              <w:rPr>
                <w:rFonts w:cs="Gill Sans MT"/>
                <w:b/>
                <w:color w:val="000000"/>
                <w:sz w:val="20"/>
                <w:szCs w:val="20"/>
              </w:rPr>
            </w:pPr>
            <w:r w:rsidRPr="00C9008F">
              <w:rPr>
                <w:rFonts w:cs="Gill Sans MT"/>
                <w:b/>
                <w:color w:val="000000"/>
                <w:sz w:val="20"/>
                <w:szCs w:val="20"/>
              </w:rPr>
              <w:t>Vocación</w:t>
            </w:r>
          </w:p>
        </w:tc>
        <w:tc>
          <w:tcPr>
            <w:tcW w:w="2325" w:type="pct"/>
            <w:shd w:val="clear" w:color="auto" w:fill="C2D69B" w:themeFill="accent3" w:themeFillTint="99"/>
            <w:vAlign w:val="center"/>
          </w:tcPr>
          <w:p w:rsidR="00C0397A" w:rsidRPr="00C9008F" w:rsidRDefault="00C9008F" w:rsidP="00C9008F">
            <w:pPr>
              <w:jc w:val="center"/>
              <w:rPr>
                <w:b/>
                <w:sz w:val="20"/>
                <w:szCs w:val="20"/>
              </w:rPr>
            </w:pPr>
            <w:r w:rsidRPr="00C9008F">
              <w:rPr>
                <w:b/>
                <w:sz w:val="20"/>
                <w:szCs w:val="20"/>
              </w:rPr>
              <w:t>%</w:t>
            </w:r>
            <w:r>
              <w:rPr>
                <w:b/>
                <w:sz w:val="20"/>
                <w:szCs w:val="20"/>
              </w:rPr>
              <w:t xml:space="preserve"> d</w:t>
            </w:r>
            <w:r w:rsidRPr="00C9008F">
              <w:rPr>
                <w:b/>
                <w:sz w:val="20"/>
                <w:szCs w:val="20"/>
              </w:rPr>
              <w:t>el territorio nacional</w:t>
            </w:r>
          </w:p>
        </w:tc>
        <w:tc>
          <w:tcPr>
            <w:tcW w:w="1512" w:type="pct"/>
            <w:shd w:val="clear" w:color="auto" w:fill="C2D69B" w:themeFill="accent3" w:themeFillTint="99"/>
            <w:vAlign w:val="center"/>
          </w:tcPr>
          <w:p w:rsidR="00C0397A" w:rsidRPr="00C9008F" w:rsidRDefault="00C9008F" w:rsidP="00C9008F">
            <w:pPr>
              <w:jc w:val="center"/>
              <w:rPr>
                <w:b/>
                <w:sz w:val="20"/>
                <w:szCs w:val="20"/>
              </w:rPr>
            </w:pPr>
            <w:r w:rsidRPr="00C9008F">
              <w:rPr>
                <w:b/>
                <w:sz w:val="20"/>
                <w:szCs w:val="20"/>
              </w:rPr>
              <w:t>Extensión (ha)</w:t>
            </w:r>
          </w:p>
        </w:tc>
      </w:tr>
      <w:tr w:rsidR="00C0397A" w:rsidRPr="00C9008F" w:rsidTr="00C9008F">
        <w:trPr>
          <w:trHeight w:val="284"/>
        </w:trPr>
        <w:tc>
          <w:tcPr>
            <w:tcW w:w="1163" w:type="pct"/>
            <w:vAlign w:val="center"/>
          </w:tcPr>
          <w:p w:rsidR="00C0397A" w:rsidRPr="00C9008F" w:rsidRDefault="00C0397A" w:rsidP="00C0397A">
            <w:pPr>
              <w:jc w:val="center"/>
              <w:rPr>
                <w:rFonts w:cs="Gill Sans MT"/>
                <w:color w:val="000000"/>
                <w:sz w:val="20"/>
                <w:szCs w:val="20"/>
              </w:rPr>
            </w:pPr>
            <w:r w:rsidRPr="00C9008F">
              <w:rPr>
                <w:rFonts w:cs="Gill Sans MT"/>
                <w:color w:val="000000"/>
                <w:sz w:val="20"/>
                <w:szCs w:val="20"/>
              </w:rPr>
              <w:t>Forestal</w:t>
            </w:r>
          </w:p>
        </w:tc>
        <w:tc>
          <w:tcPr>
            <w:tcW w:w="2325" w:type="pct"/>
          </w:tcPr>
          <w:p w:rsidR="00C0397A" w:rsidRPr="00C9008F" w:rsidRDefault="00C0397A" w:rsidP="00C0397A">
            <w:pPr>
              <w:jc w:val="center"/>
              <w:rPr>
                <w:sz w:val="20"/>
                <w:szCs w:val="20"/>
              </w:rPr>
            </w:pPr>
            <w:r w:rsidRPr="00C9008F">
              <w:rPr>
                <w:sz w:val="20"/>
                <w:szCs w:val="20"/>
              </w:rPr>
              <w:t>56,2</w:t>
            </w:r>
          </w:p>
        </w:tc>
        <w:tc>
          <w:tcPr>
            <w:tcW w:w="1512" w:type="pct"/>
            <w:vAlign w:val="center"/>
          </w:tcPr>
          <w:p w:rsidR="00C0397A" w:rsidRPr="00C9008F" w:rsidRDefault="00C0397A" w:rsidP="00C0397A">
            <w:pPr>
              <w:jc w:val="center"/>
              <w:rPr>
                <w:sz w:val="20"/>
                <w:szCs w:val="20"/>
              </w:rPr>
            </w:pPr>
            <w:r w:rsidRPr="00C9008F">
              <w:rPr>
                <w:rFonts w:cs="Gill Sans MT"/>
                <w:color w:val="000000"/>
                <w:sz w:val="20"/>
                <w:szCs w:val="20"/>
              </w:rPr>
              <w:t>64.204. 294</w:t>
            </w:r>
          </w:p>
        </w:tc>
      </w:tr>
      <w:tr w:rsidR="00C0397A" w:rsidRPr="00C9008F" w:rsidTr="00C9008F">
        <w:trPr>
          <w:trHeight w:val="284"/>
        </w:trPr>
        <w:tc>
          <w:tcPr>
            <w:tcW w:w="1163" w:type="pct"/>
            <w:vAlign w:val="center"/>
          </w:tcPr>
          <w:p w:rsidR="00C0397A" w:rsidRPr="00C9008F" w:rsidRDefault="00C0397A" w:rsidP="00C0397A">
            <w:pPr>
              <w:jc w:val="center"/>
              <w:rPr>
                <w:rFonts w:cs="Gill Sans MT"/>
                <w:color w:val="000000"/>
                <w:sz w:val="20"/>
                <w:szCs w:val="20"/>
              </w:rPr>
            </w:pPr>
            <w:r w:rsidRPr="00C9008F">
              <w:rPr>
                <w:rFonts w:cs="Gill Sans MT"/>
                <w:color w:val="000000"/>
                <w:sz w:val="20"/>
                <w:szCs w:val="20"/>
              </w:rPr>
              <w:t>Agroforestal</w:t>
            </w:r>
          </w:p>
        </w:tc>
        <w:tc>
          <w:tcPr>
            <w:tcW w:w="2325" w:type="pct"/>
          </w:tcPr>
          <w:p w:rsidR="00C0397A" w:rsidRPr="00C9008F" w:rsidRDefault="00C0397A" w:rsidP="00C0397A">
            <w:pPr>
              <w:jc w:val="center"/>
              <w:rPr>
                <w:rFonts w:cs="Gill Sans MT"/>
                <w:color w:val="000000"/>
                <w:sz w:val="20"/>
                <w:szCs w:val="20"/>
              </w:rPr>
            </w:pPr>
            <w:r w:rsidRPr="00C9008F">
              <w:rPr>
                <w:rFonts w:cs="Gill Sans MT"/>
                <w:color w:val="000000"/>
                <w:sz w:val="20"/>
                <w:szCs w:val="20"/>
              </w:rPr>
              <w:t>3,6</w:t>
            </w:r>
          </w:p>
        </w:tc>
        <w:tc>
          <w:tcPr>
            <w:tcW w:w="1512" w:type="pct"/>
            <w:vAlign w:val="center"/>
          </w:tcPr>
          <w:p w:rsidR="00C0397A" w:rsidRPr="00C9008F" w:rsidRDefault="00C0397A" w:rsidP="00C0397A">
            <w:pPr>
              <w:jc w:val="center"/>
              <w:rPr>
                <w:rFonts w:cs="Gill Sans MT"/>
                <w:color w:val="000000"/>
                <w:sz w:val="20"/>
                <w:szCs w:val="20"/>
              </w:rPr>
            </w:pPr>
            <w:r w:rsidRPr="00C9008F">
              <w:rPr>
                <w:rFonts w:cs="Gill Sans MT"/>
                <w:color w:val="000000"/>
                <w:sz w:val="20"/>
                <w:szCs w:val="20"/>
              </w:rPr>
              <w:t>4.057.776</w:t>
            </w:r>
          </w:p>
        </w:tc>
      </w:tr>
      <w:tr w:rsidR="00C0397A" w:rsidRPr="00C9008F" w:rsidTr="00C9008F">
        <w:trPr>
          <w:trHeight w:val="284"/>
        </w:trPr>
        <w:tc>
          <w:tcPr>
            <w:tcW w:w="1163" w:type="pct"/>
            <w:vAlign w:val="center"/>
          </w:tcPr>
          <w:p w:rsidR="00C0397A" w:rsidRPr="00C9008F" w:rsidRDefault="00C0397A" w:rsidP="00C0397A">
            <w:pPr>
              <w:jc w:val="center"/>
              <w:rPr>
                <w:rFonts w:cs="Gill Sans MT"/>
                <w:b/>
                <w:color w:val="000000"/>
                <w:sz w:val="20"/>
                <w:szCs w:val="20"/>
              </w:rPr>
            </w:pPr>
            <w:r w:rsidRPr="00C9008F">
              <w:rPr>
                <w:rFonts w:cs="Gill Sans MT"/>
                <w:b/>
                <w:color w:val="000000"/>
                <w:sz w:val="20"/>
                <w:szCs w:val="20"/>
              </w:rPr>
              <w:t>Total</w:t>
            </w:r>
          </w:p>
        </w:tc>
        <w:tc>
          <w:tcPr>
            <w:tcW w:w="2325" w:type="pct"/>
          </w:tcPr>
          <w:p w:rsidR="00C0397A" w:rsidRPr="00C9008F" w:rsidRDefault="00C0397A" w:rsidP="00C0397A">
            <w:pPr>
              <w:jc w:val="center"/>
              <w:rPr>
                <w:rFonts w:cs="Gill Sans MT"/>
                <w:b/>
                <w:color w:val="000000"/>
                <w:sz w:val="20"/>
                <w:szCs w:val="20"/>
              </w:rPr>
            </w:pPr>
            <w:r w:rsidRPr="00C9008F">
              <w:rPr>
                <w:rFonts w:cs="Gill Sans MT"/>
                <w:b/>
                <w:color w:val="000000"/>
                <w:sz w:val="20"/>
                <w:szCs w:val="20"/>
              </w:rPr>
              <w:t>59,8</w:t>
            </w:r>
          </w:p>
        </w:tc>
        <w:tc>
          <w:tcPr>
            <w:tcW w:w="1512" w:type="pct"/>
            <w:vAlign w:val="center"/>
          </w:tcPr>
          <w:p w:rsidR="00C0397A" w:rsidRPr="00C9008F" w:rsidRDefault="00C0397A" w:rsidP="00C0397A">
            <w:pPr>
              <w:jc w:val="center"/>
              <w:rPr>
                <w:rFonts w:cs="Gill Sans MT"/>
                <w:b/>
                <w:color w:val="000000"/>
                <w:sz w:val="20"/>
                <w:szCs w:val="20"/>
              </w:rPr>
            </w:pPr>
            <w:r w:rsidRPr="00C9008F">
              <w:rPr>
                <w:rFonts w:cs="Gill Sans MT"/>
                <w:b/>
                <w:color w:val="000000"/>
                <w:sz w:val="20"/>
                <w:szCs w:val="20"/>
              </w:rPr>
              <w:t>68.262.070</w:t>
            </w:r>
          </w:p>
        </w:tc>
      </w:tr>
    </w:tbl>
    <w:p w:rsidR="006D1EF9" w:rsidRDefault="006D1EF9" w:rsidP="00C9008F">
      <w:pPr>
        <w:rPr>
          <w:lang w:val="es-CO"/>
        </w:rPr>
      </w:pPr>
      <w:r>
        <w:rPr>
          <w:lang w:val="es-CO"/>
        </w:rPr>
        <w:t xml:space="preserve">Por otra parte, es necesario mencionar que dentro de </w:t>
      </w:r>
      <w:r w:rsidR="00E32EE6">
        <w:rPr>
          <w:lang w:val="es-CO"/>
        </w:rPr>
        <w:t>las</w:t>
      </w:r>
      <w:r>
        <w:rPr>
          <w:lang w:val="es-CO"/>
        </w:rPr>
        <w:t xml:space="preserve"> tierras de vocación forestal y agroforestal </w:t>
      </w:r>
      <w:r w:rsidR="00E32EE6">
        <w:rPr>
          <w:lang w:val="es-CO"/>
        </w:rPr>
        <w:t xml:space="preserve">arriba mencionadas </w:t>
      </w:r>
      <w:r>
        <w:rPr>
          <w:lang w:val="es-CO"/>
        </w:rPr>
        <w:t>está incluida la mayor parte de los 59.134.663 de hectáreas de bosques naturales que hasta el año 2013 poseía el país</w:t>
      </w:r>
      <w:r>
        <w:rPr>
          <w:rStyle w:val="Refdenotaalpie"/>
          <w:szCs w:val="22"/>
          <w:lang w:val="es-CO"/>
        </w:rPr>
        <w:footnoteReference w:id="17"/>
      </w:r>
      <w:r w:rsidR="00E32EE6">
        <w:rPr>
          <w:lang w:val="es-CO"/>
        </w:rPr>
        <w:t>;</w:t>
      </w:r>
      <w:r>
        <w:rPr>
          <w:lang w:val="es-CO"/>
        </w:rPr>
        <w:t xml:space="preserve"> </w:t>
      </w:r>
      <w:r w:rsidR="00E32EE6">
        <w:rPr>
          <w:lang w:val="es-CO"/>
        </w:rPr>
        <w:t>y</w:t>
      </w:r>
      <w:r w:rsidR="00783302">
        <w:rPr>
          <w:lang w:val="es-CO"/>
        </w:rPr>
        <w:t xml:space="preserve"> a</w:t>
      </w:r>
      <w:r w:rsidR="00E32EE6">
        <w:rPr>
          <w:lang w:val="es-CO"/>
        </w:rPr>
        <w:t xml:space="preserve"> </w:t>
      </w:r>
      <w:r>
        <w:rPr>
          <w:lang w:val="es-CO"/>
        </w:rPr>
        <w:t>las que</w:t>
      </w:r>
      <w:r w:rsidR="00E32EE6">
        <w:rPr>
          <w:lang w:val="es-CO"/>
        </w:rPr>
        <w:t xml:space="preserve"> </w:t>
      </w:r>
      <w:r w:rsidR="002A09C9">
        <w:rPr>
          <w:lang w:val="es-CO"/>
        </w:rPr>
        <w:t>se les</w:t>
      </w:r>
      <w:r>
        <w:rPr>
          <w:lang w:val="es-CO"/>
        </w:rPr>
        <w:t xml:space="preserve"> podría considerar como </w:t>
      </w:r>
      <w:r w:rsidR="002A09C9">
        <w:rPr>
          <w:lang w:val="es-CO"/>
        </w:rPr>
        <w:t>un</w:t>
      </w:r>
      <w:r>
        <w:rPr>
          <w:lang w:val="es-CO"/>
        </w:rPr>
        <w:t xml:space="preserve"> ámbito de aplicación</w:t>
      </w:r>
      <w:r w:rsidR="002A09C9">
        <w:rPr>
          <w:lang w:val="es-CO"/>
        </w:rPr>
        <w:t xml:space="preserve"> indirecta</w:t>
      </w:r>
      <w:r>
        <w:rPr>
          <w:lang w:val="es-CO"/>
        </w:rPr>
        <w:t>.</w:t>
      </w:r>
    </w:p>
    <w:p w:rsidR="00CF193D" w:rsidRPr="00CF193D" w:rsidRDefault="00C9008F" w:rsidP="00C9008F">
      <w:pPr>
        <w:pStyle w:val="Ttulo2"/>
        <w:rPr>
          <w:lang w:val="es-CO"/>
        </w:rPr>
      </w:pPr>
      <w:bookmarkStart w:id="14" w:name="_Toc23137161"/>
      <w:r>
        <w:rPr>
          <w:lang w:val="es-CO"/>
        </w:rPr>
        <w:t xml:space="preserve">4.2. </w:t>
      </w:r>
      <w:r w:rsidR="00CF193D" w:rsidRPr="00CF193D">
        <w:rPr>
          <w:lang w:val="es-CO"/>
        </w:rPr>
        <w:t>ECOSISTEMAS DE COLOMBIA</w:t>
      </w:r>
      <w:bookmarkEnd w:id="14"/>
    </w:p>
    <w:p w:rsidR="00CF193D" w:rsidRPr="00CF193D" w:rsidRDefault="00CF193D" w:rsidP="00C9008F">
      <w:pPr>
        <w:rPr>
          <w:lang w:val="es-ES_tradnl"/>
        </w:rPr>
      </w:pPr>
      <w:r w:rsidRPr="00CF193D">
        <w:rPr>
          <w:lang w:val="es-CO"/>
        </w:rPr>
        <w:t>Por otra parte, y s</w:t>
      </w:r>
      <w:r w:rsidRPr="00CF193D">
        <w:rPr>
          <w:lang w:val="es-ES_tradnl"/>
        </w:rPr>
        <w:t>egún el Mapa de Ecosistemas Continentales, Costeros y Marinos de Colombia, 2015, Escala 1:100.000, MADS-IDEAM, el país cuenta con 61.886.154 hectáreas de Ecosistemas Terrestres Naturales y 31.638. 007 hectáreas de Ecosistemas Terrestres Transformados. Del área total de dichos ecosistemas terrestres, el estudio indica que el 1,03% corresponde a Xerofitia, el 1,00% a Subxerofitia, el 8,40% a Sabana, el 2,37% a Páramo, el o,80% a Herbazal, el 48,17% a Bosques, el 0,64% a Arbustal y el 3,69 a Complejos rocosos; en tanto que el 31,24 corresponde a Ecosistema Transformado.</w:t>
      </w:r>
    </w:p>
    <w:p w:rsidR="00CF193D" w:rsidRPr="00CF193D" w:rsidRDefault="00CF193D" w:rsidP="00C9008F">
      <w:pPr>
        <w:spacing w:after="120"/>
        <w:rPr>
          <w:lang w:val="es-ES_tradnl"/>
        </w:rPr>
      </w:pPr>
      <w:r w:rsidRPr="00CF193D">
        <w:rPr>
          <w:lang w:val="es-ES_tradnl"/>
        </w:rPr>
        <w:t>Del mismo modo, el citado mapa establece para el país la existencia de 13 Biomas Preliminares:</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Orobioma Azonal Andino</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Orobioma Azonal Subandino</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Zonobioma Alternohígrico Tropical</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Orobioma Subandino</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Orobioma Andino</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Halobioma</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Zonobioma Húmedo Tropical</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Orobioma Azonal de Páramo</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Heliobioma</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Orobioma de Páramo</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Peinobioma</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Litobioma</w:t>
      </w:r>
    </w:p>
    <w:p w:rsidR="00CF193D" w:rsidRPr="00C9008F" w:rsidRDefault="00CF193D" w:rsidP="00446ECB">
      <w:pPr>
        <w:pStyle w:val="Prrafodelista"/>
        <w:numPr>
          <w:ilvl w:val="0"/>
          <w:numId w:val="28"/>
        </w:numPr>
        <w:rPr>
          <w:rFonts w:cs="Arial"/>
          <w:szCs w:val="22"/>
          <w:lang w:val="es-ES_tradnl"/>
        </w:rPr>
      </w:pPr>
      <w:r w:rsidRPr="00C9008F">
        <w:rPr>
          <w:rFonts w:cs="Arial"/>
          <w:szCs w:val="22"/>
          <w:lang w:val="es-ES_tradnl"/>
        </w:rPr>
        <w:t>Hidrobioma</w:t>
      </w:r>
    </w:p>
    <w:p w:rsidR="00CF193D" w:rsidRPr="00CF193D" w:rsidRDefault="00CF193D" w:rsidP="00307D8F">
      <w:pPr>
        <w:spacing w:before="120"/>
        <w:rPr>
          <w:lang w:val="es-ES_tradnl"/>
        </w:rPr>
      </w:pPr>
      <w:r w:rsidRPr="00CF193D">
        <w:rPr>
          <w:lang w:val="es-ES_tradnl"/>
        </w:rPr>
        <w:t>A su vez, el referido Mapa de Ecosistemas establece la existencia de 18 tipos de ecosistemas transformados, con el fin de priorizar acciones de restauración y manejo; entre dichos ecosistemas transformados se puede distinguir a cuatro (4) ecosistemas de alta importancia para la ordenación y el manejo forestal integral y sostenible:</w:t>
      </w:r>
    </w:p>
    <w:p w:rsidR="00CF193D" w:rsidRPr="00B2203B" w:rsidRDefault="00CF193D" w:rsidP="00446ECB">
      <w:pPr>
        <w:pStyle w:val="Prrafodelista"/>
        <w:numPr>
          <w:ilvl w:val="0"/>
          <w:numId w:val="29"/>
        </w:numPr>
        <w:rPr>
          <w:lang w:val="es-ES_tradnl"/>
        </w:rPr>
      </w:pPr>
      <w:r w:rsidRPr="00B2203B">
        <w:rPr>
          <w:lang w:val="es-ES_tradnl"/>
        </w:rPr>
        <w:t>Agroecosistema Forestal</w:t>
      </w:r>
    </w:p>
    <w:p w:rsidR="00CF193D" w:rsidRPr="00B2203B" w:rsidRDefault="00CF193D" w:rsidP="00446ECB">
      <w:pPr>
        <w:pStyle w:val="Prrafodelista"/>
        <w:numPr>
          <w:ilvl w:val="0"/>
          <w:numId w:val="29"/>
        </w:numPr>
        <w:rPr>
          <w:lang w:val="es-ES_tradnl"/>
        </w:rPr>
      </w:pPr>
      <w:r w:rsidRPr="00B2203B">
        <w:rPr>
          <w:lang w:val="es-ES_tradnl"/>
        </w:rPr>
        <w:t>Vegetación Secundaria</w:t>
      </w:r>
    </w:p>
    <w:p w:rsidR="00CF193D" w:rsidRPr="00B2203B" w:rsidRDefault="00CF193D" w:rsidP="00446ECB">
      <w:pPr>
        <w:pStyle w:val="Prrafodelista"/>
        <w:numPr>
          <w:ilvl w:val="0"/>
          <w:numId w:val="29"/>
        </w:numPr>
        <w:rPr>
          <w:lang w:val="es-ES_tradnl"/>
        </w:rPr>
      </w:pPr>
      <w:r w:rsidRPr="00B2203B">
        <w:rPr>
          <w:lang w:val="es-ES_tradnl"/>
        </w:rPr>
        <w:t xml:space="preserve">Bosque Fragmentado </w:t>
      </w:r>
    </w:p>
    <w:p w:rsidR="00CF193D" w:rsidRPr="00B2203B" w:rsidRDefault="00CF193D" w:rsidP="00446ECB">
      <w:pPr>
        <w:pStyle w:val="Prrafodelista"/>
        <w:numPr>
          <w:ilvl w:val="0"/>
          <w:numId w:val="29"/>
        </w:numPr>
        <w:rPr>
          <w:lang w:val="es-ES_tradnl"/>
        </w:rPr>
      </w:pPr>
      <w:r w:rsidRPr="00B2203B">
        <w:rPr>
          <w:lang w:val="es-ES_tradnl"/>
        </w:rPr>
        <w:t>Agroecosistema de Cultivos Permanentes</w:t>
      </w:r>
    </w:p>
    <w:p w:rsidR="00CF193D" w:rsidRPr="00CF193D" w:rsidRDefault="00B2203B" w:rsidP="00B2203B">
      <w:pPr>
        <w:pStyle w:val="Ttulo2"/>
        <w:rPr>
          <w:lang w:val="es-ES_tradnl"/>
        </w:rPr>
      </w:pPr>
      <w:bookmarkStart w:id="15" w:name="_Toc23137162"/>
      <w:r>
        <w:rPr>
          <w:lang w:val="es-ES_tradnl"/>
        </w:rPr>
        <w:lastRenderedPageBreak/>
        <w:t xml:space="preserve">4.3. </w:t>
      </w:r>
      <w:r w:rsidR="00CF193D" w:rsidRPr="00CF193D">
        <w:rPr>
          <w:lang w:val="es-ES_tradnl"/>
        </w:rPr>
        <w:t>COBERTURAS BOSCOSAS DE COLOMBIA</w:t>
      </w:r>
      <w:bookmarkEnd w:id="15"/>
    </w:p>
    <w:p w:rsidR="00CF193D" w:rsidRPr="00CF193D" w:rsidRDefault="00CF193D" w:rsidP="00B2203B">
      <w:pPr>
        <w:rPr>
          <w:rFonts w:eastAsiaTheme="minorHAnsi" w:cs="Gill Sans MT"/>
          <w:color w:val="000000"/>
          <w:lang w:val="es-CO" w:eastAsia="en-US"/>
        </w:rPr>
      </w:pPr>
      <w:r w:rsidRPr="00CF193D">
        <w:rPr>
          <w:rFonts w:eastAsiaTheme="minorHAnsi" w:cs="Gill Sans MT"/>
          <w:color w:val="000000"/>
          <w:lang w:val="es-CO" w:eastAsia="en-US"/>
        </w:rPr>
        <w:t xml:space="preserve">De acuerdo con el </w:t>
      </w:r>
      <w:r w:rsidRPr="00CF193D">
        <w:t>“Estudio de los Conflictos de Uso del Territorio Colombiano a escala 1:100.000, 2012, del INSTITUTO GEOGRÁFICO AGUSTÍN CODAZZI, 2012, l</w:t>
      </w:r>
      <w:r w:rsidRPr="00CF193D">
        <w:rPr>
          <w:rFonts w:eastAsiaTheme="minorHAnsi" w:cs="Gill Sans MT"/>
          <w:color w:val="000000"/>
          <w:lang w:val="es-CO" w:eastAsia="en-US"/>
        </w:rPr>
        <w:t>as áreas de Bosques y áreas semi-naturales identificadas con el código 3 según la metodología de CORINE Land Cover, leyenda 2, año 2002, tienen una extensión total de 65.767.667</w:t>
      </w:r>
      <w:r w:rsidR="00B2203B">
        <w:rPr>
          <w:rFonts w:eastAsiaTheme="minorHAnsi" w:cs="Gill Sans MT"/>
          <w:color w:val="000000"/>
          <w:lang w:val="es-CO" w:eastAsia="en-US"/>
        </w:rPr>
        <w:t xml:space="preserve"> (</w:t>
      </w:r>
      <w:r w:rsidR="00B2203B">
        <w:rPr>
          <w:rFonts w:eastAsiaTheme="minorHAnsi" w:cs="Gill Sans MT"/>
          <w:color w:val="000000"/>
          <w:lang w:val="es-CO" w:eastAsia="en-US"/>
        </w:rPr>
        <w:fldChar w:fldCharType="begin"/>
      </w:r>
      <w:r w:rsidR="00B2203B">
        <w:rPr>
          <w:rFonts w:eastAsiaTheme="minorHAnsi" w:cs="Gill Sans MT"/>
          <w:color w:val="000000"/>
          <w:lang w:val="es-CO" w:eastAsia="en-US"/>
        </w:rPr>
        <w:instrText xml:space="preserve"> REF _Ref20686448 \h </w:instrText>
      </w:r>
      <w:r w:rsidR="00B2203B">
        <w:rPr>
          <w:rFonts w:eastAsiaTheme="minorHAnsi" w:cs="Gill Sans MT"/>
          <w:color w:val="000000"/>
          <w:lang w:val="es-CO" w:eastAsia="en-US"/>
        </w:rPr>
      </w:r>
      <w:r w:rsidR="00B2203B">
        <w:rPr>
          <w:rFonts w:eastAsiaTheme="minorHAnsi" w:cs="Gill Sans MT"/>
          <w:color w:val="000000"/>
          <w:lang w:val="es-CO" w:eastAsia="en-US"/>
        </w:rPr>
        <w:fldChar w:fldCharType="separate"/>
      </w:r>
      <w:r w:rsidR="00B2203B">
        <w:t xml:space="preserve">Tabla </w:t>
      </w:r>
      <w:r w:rsidR="00B2203B">
        <w:rPr>
          <w:noProof/>
        </w:rPr>
        <w:t>4</w:t>
      </w:r>
      <w:r w:rsidR="00B2203B">
        <w:rPr>
          <w:rFonts w:eastAsiaTheme="minorHAnsi" w:cs="Gill Sans MT"/>
          <w:color w:val="000000"/>
          <w:lang w:val="es-CO" w:eastAsia="en-US"/>
        </w:rPr>
        <w:fldChar w:fldCharType="end"/>
      </w:r>
      <w:r w:rsidR="00B2203B">
        <w:rPr>
          <w:rFonts w:eastAsiaTheme="minorHAnsi" w:cs="Gill Sans MT"/>
          <w:color w:val="000000"/>
          <w:lang w:val="es-CO" w:eastAsia="en-US"/>
        </w:rPr>
        <w:t>).</w:t>
      </w:r>
    </w:p>
    <w:p w:rsidR="00CF193D" w:rsidRDefault="00B2203B" w:rsidP="00B2203B">
      <w:pPr>
        <w:pStyle w:val="Epgrafe"/>
        <w:rPr>
          <w:rFonts w:eastAsiaTheme="minorHAnsi" w:cs="Gill Sans MT"/>
          <w:color w:val="000000"/>
          <w:szCs w:val="18"/>
          <w:lang w:val="es-CO" w:eastAsia="en-US"/>
        </w:rPr>
      </w:pPr>
      <w:bookmarkStart w:id="16" w:name="_Ref20686448"/>
      <w:bookmarkStart w:id="17" w:name="_Toc23137183"/>
      <w:r>
        <w:t xml:space="preserve">Tabla </w:t>
      </w:r>
      <w:r>
        <w:fldChar w:fldCharType="begin"/>
      </w:r>
      <w:r>
        <w:instrText xml:space="preserve"> SEQ Tabla \* ARABIC </w:instrText>
      </w:r>
      <w:r>
        <w:fldChar w:fldCharType="separate"/>
      </w:r>
      <w:r>
        <w:rPr>
          <w:noProof/>
        </w:rPr>
        <w:t>4</w:t>
      </w:r>
      <w:r>
        <w:fldChar w:fldCharType="end"/>
      </w:r>
      <w:bookmarkEnd w:id="16"/>
      <w:r>
        <w:t xml:space="preserve">. </w:t>
      </w:r>
      <w:r w:rsidR="00DA6265">
        <w:t>Área</w:t>
      </w:r>
      <w:r w:rsidR="0007505F">
        <w:t xml:space="preserve"> total por tipo de c</w:t>
      </w:r>
      <w:r w:rsidR="00CF193D" w:rsidRPr="00CF193D">
        <w:rPr>
          <w:rFonts w:eastAsiaTheme="minorHAnsi" w:cs="Gill Sans MT"/>
          <w:color w:val="000000"/>
          <w:szCs w:val="18"/>
          <w:lang w:val="es-CO" w:eastAsia="en-US"/>
        </w:rPr>
        <w:t>oberturas boscosas de Colombia - 2012</w:t>
      </w:r>
      <w:r w:rsidR="00CF193D" w:rsidRPr="00CF193D">
        <w:rPr>
          <w:rStyle w:val="Refdenotaalpie"/>
          <w:rFonts w:eastAsiaTheme="minorHAnsi"/>
          <w:color w:val="000000"/>
          <w:szCs w:val="18"/>
          <w:lang w:val="es-CO" w:eastAsia="en-US"/>
        </w:rPr>
        <w:footnoteReference w:id="18"/>
      </w:r>
      <w:bookmarkEnd w:id="17"/>
    </w:p>
    <w:tbl>
      <w:tblPr>
        <w:tblStyle w:val="Tablaconcuadrcula6"/>
        <w:tblW w:w="5000" w:type="pct"/>
        <w:tblLook w:val="04A0" w:firstRow="1" w:lastRow="0" w:firstColumn="1" w:lastColumn="0" w:noHBand="0" w:noVBand="1"/>
      </w:tblPr>
      <w:tblGrid>
        <w:gridCol w:w="1022"/>
        <w:gridCol w:w="1100"/>
        <w:gridCol w:w="1593"/>
        <w:gridCol w:w="1778"/>
        <w:gridCol w:w="2874"/>
        <w:gridCol w:w="971"/>
      </w:tblGrid>
      <w:tr w:rsidR="00DA6265" w:rsidRPr="00CF193D" w:rsidTr="00DA6265">
        <w:trPr>
          <w:trHeight w:val="283"/>
        </w:trPr>
        <w:tc>
          <w:tcPr>
            <w:tcW w:w="5000" w:type="pct"/>
            <w:gridSpan w:val="6"/>
            <w:shd w:val="clear" w:color="auto" w:fill="C2D69B" w:themeFill="accent3" w:themeFillTint="99"/>
            <w:vAlign w:val="center"/>
          </w:tcPr>
          <w:p w:rsidR="00DA6265" w:rsidRPr="00CF193D" w:rsidRDefault="00DA6265" w:rsidP="00DA6265">
            <w:pPr>
              <w:jc w:val="center"/>
              <w:rPr>
                <w:sz w:val="16"/>
                <w:szCs w:val="16"/>
              </w:rPr>
            </w:pPr>
            <w:r>
              <w:rPr>
                <w:rFonts w:cs="Gill Sans MT"/>
                <w:color w:val="000000"/>
                <w:sz w:val="16"/>
                <w:szCs w:val="16"/>
              </w:rPr>
              <w:t>Nivel</w:t>
            </w:r>
          </w:p>
        </w:tc>
      </w:tr>
      <w:tr w:rsidR="00DA6265" w:rsidRPr="00CF193D" w:rsidTr="00DA6265">
        <w:trPr>
          <w:trHeight w:val="283"/>
        </w:trPr>
        <w:tc>
          <w:tcPr>
            <w:tcW w:w="547" w:type="pct"/>
            <w:shd w:val="clear" w:color="auto" w:fill="C2D69B" w:themeFill="accent3" w:themeFillTint="99"/>
            <w:vAlign w:val="center"/>
          </w:tcPr>
          <w:p w:rsidR="00DA6265" w:rsidRPr="00CF193D" w:rsidRDefault="00DA6265" w:rsidP="00DA6265">
            <w:pPr>
              <w:jc w:val="center"/>
              <w:rPr>
                <w:rFonts w:cs="Gill Sans MT"/>
                <w:color w:val="000000"/>
                <w:sz w:val="16"/>
                <w:szCs w:val="16"/>
              </w:rPr>
            </w:pPr>
            <w:r>
              <w:rPr>
                <w:rFonts w:cs="Gill Sans MT"/>
                <w:color w:val="000000"/>
                <w:sz w:val="16"/>
                <w:szCs w:val="16"/>
              </w:rPr>
              <w:t>1</w:t>
            </w:r>
          </w:p>
        </w:tc>
        <w:tc>
          <w:tcPr>
            <w:tcW w:w="589" w:type="pct"/>
            <w:shd w:val="clear" w:color="auto" w:fill="C2D69B" w:themeFill="accent3" w:themeFillTint="99"/>
            <w:vAlign w:val="center"/>
          </w:tcPr>
          <w:p w:rsidR="00DA6265" w:rsidRPr="00CF193D" w:rsidRDefault="00DA6265" w:rsidP="00DA6265">
            <w:pPr>
              <w:jc w:val="center"/>
              <w:rPr>
                <w:rFonts w:cs="Gill Sans MT"/>
                <w:color w:val="000000"/>
                <w:sz w:val="16"/>
                <w:szCs w:val="16"/>
              </w:rPr>
            </w:pPr>
            <w:r>
              <w:rPr>
                <w:rFonts w:cs="Gill Sans MT"/>
                <w:color w:val="000000"/>
                <w:sz w:val="16"/>
                <w:szCs w:val="16"/>
              </w:rPr>
              <w:t>2</w:t>
            </w:r>
          </w:p>
        </w:tc>
        <w:tc>
          <w:tcPr>
            <w:tcW w:w="853" w:type="pct"/>
            <w:shd w:val="clear" w:color="auto" w:fill="C2D69B" w:themeFill="accent3" w:themeFillTint="99"/>
            <w:vAlign w:val="center"/>
          </w:tcPr>
          <w:p w:rsidR="00DA6265" w:rsidRPr="00CF193D" w:rsidRDefault="00DA6265" w:rsidP="00DA6265">
            <w:pPr>
              <w:jc w:val="center"/>
              <w:rPr>
                <w:rFonts w:cs="Gill Sans MT"/>
                <w:color w:val="000000"/>
                <w:sz w:val="16"/>
                <w:szCs w:val="16"/>
              </w:rPr>
            </w:pPr>
            <w:r>
              <w:rPr>
                <w:rFonts w:cs="Gill Sans MT"/>
                <w:color w:val="000000"/>
                <w:sz w:val="16"/>
                <w:szCs w:val="16"/>
              </w:rPr>
              <w:t>3</w:t>
            </w:r>
          </w:p>
        </w:tc>
        <w:tc>
          <w:tcPr>
            <w:tcW w:w="952" w:type="pct"/>
            <w:shd w:val="clear" w:color="auto" w:fill="C2D69B" w:themeFill="accent3" w:themeFillTint="99"/>
            <w:vAlign w:val="center"/>
          </w:tcPr>
          <w:p w:rsidR="00DA6265" w:rsidRPr="00CF193D" w:rsidRDefault="00DA6265" w:rsidP="00DA6265">
            <w:pPr>
              <w:jc w:val="center"/>
              <w:rPr>
                <w:rFonts w:cs="Gill Sans MT"/>
                <w:color w:val="000000"/>
                <w:sz w:val="16"/>
                <w:szCs w:val="16"/>
              </w:rPr>
            </w:pPr>
            <w:r>
              <w:rPr>
                <w:rFonts w:cs="Gill Sans MT"/>
                <w:color w:val="000000"/>
                <w:sz w:val="16"/>
                <w:szCs w:val="16"/>
              </w:rPr>
              <w:t>4</w:t>
            </w:r>
          </w:p>
        </w:tc>
        <w:tc>
          <w:tcPr>
            <w:tcW w:w="1539" w:type="pct"/>
            <w:shd w:val="clear" w:color="auto" w:fill="C2D69B" w:themeFill="accent3" w:themeFillTint="99"/>
            <w:vAlign w:val="center"/>
          </w:tcPr>
          <w:p w:rsidR="00DA6265" w:rsidRPr="00CF193D" w:rsidRDefault="00DA6265" w:rsidP="00DA6265">
            <w:pPr>
              <w:jc w:val="center"/>
              <w:rPr>
                <w:sz w:val="16"/>
                <w:szCs w:val="16"/>
              </w:rPr>
            </w:pPr>
            <w:r>
              <w:rPr>
                <w:sz w:val="16"/>
                <w:szCs w:val="16"/>
              </w:rPr>
              <w:t>5</w:t>
            </w:r>
          </w:p>
        </w:tc>
        <w:tc>
          <w:tcPr>
            <w:tcW w:w="520" w:type="pct"/>
            <w:shd w:val="clear" w:color="auto" w:fill="C2D69B" w:themeFill="accent3" w:themeFillTint="99"/>
            <w:vAlign w:val="center"/>
          </w:tcPr>
          <w:p w:rsidR="00DA6265" w:rsidRPr="00CF193D" w:rsidRDefault="00DA6265" w:rsidP="00DA6265">
            <w:pPr>
              <w:jc w:val="center"/>
              <w:rPr>
                <w:sz w:val="16"/>
                <w:szCs w:val="16"/>
              </w:rPr>
            </w:pPr>
            <w:r>
              <w:rPr>
                <w:sz w:val="16"/>
                <w:szCs w:val="16"/>
              </w:rPr>
              <w:t>Área (ha)</w:t>
            </w:r>
          </w:p>
        </w:tc>
      </w:tr>
      <w:tr w:rsidR="00CF193D" w:rsidRPr="00CF193D" w:rsidTr="00DD6A51">
        <w:trPr>
          <w:trHeight w:val="283"/>
        </w:trPr>
        <w:tc>
          <w:tcPr>
            <w:tcW w:w="547" w:type="pct"/>
            <w:vMerge w:val="restart"/>
            <w:shd w:val="clear" w:color="auto" w:fill="C2D69B" w:themeFill="accent3" w:themeFillTint="99"/>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BOSQUES</w:t>
            </w:r>
          </w:p>
          <w:p w:rsidR="00CF193D" w:rsidRPr="00CF193D" w:rsidRDefault="00CF193D" w:rsidP="00FE3C81">
            <w:pPr>
              <w:jc w:val="left"/>
              <w:rPr>
                <w:rFonts w:cs="Gill Sans MT"/>
                <w:color w:val="000000"/>
                <w:sz w:val="16"/>
                <w:szCs w:val="16"/>
              </w:rPr>
            </w:pPr>
            <w:r w:rsidRPr="00CF193D">
              <w:rPr>
                <w:rFonts w:cs="Gill Sans MT"/>
                <w:color w:val="000000"/>
                <w:sz w:val="16"/>
                <w:szCs w:val="16"/>
              </w:rPr>
              <w:t>53,17%</w:t>
            </w:r>
          </w:p>
        </w:tc>
        <w:tc>
          <w:tcPr>
            <w:tcW w:w="589" w:type="pct"/>
            <w:vMerge w:val="restar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Bosques</w:t>
            </w:r>
          </w:p>
          <w:p w:rsidR="00CF193D" w:rsidRPr="00CF193D" w:rsidRDefault="00CF193D" w:rsidP="00FE3C81">
            <w:pPr>
              <w:jc w:val="left"/>
              <w:rPr>
                <w:rFonts w:cs="Gill Sans MT"/>
                <w:color w:val="000000"/>
                <w:sz w:val="16"/>
                <w:szCs w:val="16"/>
              </w:rPr>
            </w:pPr>
            <w:r w:rsidRPr="00CF193D">
              <w:rPr>
                <w:rFonts w:cs="Gill Sans MT"/>
                <w:color w:val="000000"/>
                <w:sz w:val="16"/>
                <w:szCs w:val="16"/>
              </w:rPr>
              <w:t>57’728.922 ha.</w:t>
            </w:r>
          </w:p>
        </w:tc>
        <w:tc>
          <w:tcPr>
            <w:tcW w:w="853" w:type="pct"/>
            <w:vMerge w:val="restar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3.1.1 </w:t>
            </w:r>
          </w:p>
          <w:p w:rsidR="00CF193D" w:rsidRPr="00CF193D" w:rsidRDefault="00CF193D" w:rsidP="00FE3C81">
            <w:pPr>
              <w:jc w:val="left"/>
              <w:rPr>
                <w:rFonts w:cs="Gill Sans MT"/>
                <w:color w:val="000000"/>
                <w:sz w:val="16"/>
                <w:szCs w:val="16"/>
              </w:rPr>
            </w:pPr>
            <w:r w:rsidRPr="00CF193D">
              <w:rPr>
                <w:rFonts w:cs="Gill Sans MT"/>
                <w:color w:val="000000"/>
                <w:sz w:val="16"/>
                <w:szCs w:val="16"/>
              </w:rPr>
              <w:t>Bosques densos</w:t>
            </w:r>
          </w:p>
          <w:p w:rsidR="00CF193D" w:rsidRPr="00CF193D" w:rsidRDefault="00CF193D" w:rsidP="00FE3C81">
            <w:pPr>
              <w:jc w:val="left"/>
              <w:rPr>
                <w:rFonts w:cs="Gill Sans MT"/>
                <w:color w:val="000000"/>
                <w:sz w:val="16"/>
                <w:szCs w:val="16"/>
              </w:rPr>
            </w:pPr>
            <w:r w:rsidRPr="00CF193D">
              <w:rPr>
                <w:rFonts w:cs="Gill Sans MT"/>
                <w:color w:val="000000"/>
                <w:sz w:val="16"/>
                <w:szCs w:val="16"/>
              </w:rPr>
              <w:t>54’856,551 ha.</w:t>
            </w:r>
          </w:p>
        </w:tc>
        <w:tc>
          <w:tcPr>
            <w:tcW w:w="952" w:type="pct"/>
            <w:vMerge w:val="restar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3.1.1.1.1 </w:t>
            </w:r>
          </w:p>
          <w:p w:rsidR="00CF193D" w:rsidRPr="00CF193D" w:rsidRDefault="00CF193D" w:rsidP="00FE3C81">
            <w:pPr>
              <w:jc w:val="left"/>
              <w:rPr>
                <w:rFonts w:cs="Gill Sans MT"/>
                <w:color w:val="000000"/>
                <w:sz w:val="16"/>
                <w:szCs w:val="16"/>
              </w:rPr>
            </w:pPr>
            <w:r w:rsidRPr="00CF193D">
              <w:rPr>
                <w:rFonts w:cs="Gill Sans MT"/>
                <w:color w:val="000000"/>
                <w:sz w:val="16"/>
                <w:szCs w:val="16"/>
              </w:rPr>
              <w:t>Bosque denso alto</w:t>
            </w:r>
          </w:p>
        </w:tc>
        <w:tc>
          <w:tcPr>
            <w:tcW w:w="1539" w:type="pct"/>
          </w:tcPr>
          <w:p w:rsidR="00CF193D" w:rsidRPr="00CF193D" w:rsidRDefault="00CF193D" w:rsidP="00FE3C81">
            <w:pPr>
              <w:jc w:val="left"/>
              <w:rPr>
                <w:sz w:val="16"/>
                <w:szCs w:val="16"/>
              </w:rPr>
            </w:pPr>
            <w:r w:rsidRPr="00CF193D">
              <w:rPr>
                <w:sz w:val="16"/>
                <w:szCs w:val="16"/>
              </w:rPr>
              <w:t>3.1.1.1.1 Bosque denso alto de tierra firme</w:t>
            </w:r>
          </w:p>
        </w:tc>
        <w:tc>
          <w:tcPr>
            <w:tcW w:w="520" w:type="pct"/>
          </w:tcPr>
          <w:p w:rsidR="00CF193D" w:rsidRPr="00CF193D" w:rsidRDefault="00CF193D" w:rsidP="00FE3C81">
            <w:pPr>
              <w:jc w:val="right"/>
              <w:rPr>
                <w:sz w:val="16"/>
                <w:szCs w:val="16"/>
              </w:rPr>
            </w:pPr>
            <w:r w:rsidRPr="00CF193D">
              <w:rPr>
                <w:sz w:val="16"/>
                <w:szCs w:val="16"/>
              </w:rPr>
              <w:t>47.857.203</w:t>
            </w:r>
          </w:p>
        </w:tc>
      </w:tr>
      <w:tr w:rsidR="00CF193D" w:rsidRPr="00CF193D" w:rsidTr="00DD6A51">
        <w:trPr>
          <w:trHeight w:val="325"/>
        </w:trPr>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ign w:val="center"/>
          </w:tcPr>
          <w:p w:rsidR="00CF193D" w:rsidRPr="00CF193D" w:rsidRDefault="00CF193D" w:rsidP="00FE3C81">
            <w:pPr>
              <w:jc w:val="left"/>
              <w:rPr>
                <w:rFonts w:cs="Gill Sans MT"/>
                <w:color w:val="000000"/>
                <w:sz w:val="16"/>
                <w:szCs w:val="16"/>
              </w:rPr>
            </w:pPr>
          </w:p>
        </w:tc>
        <w:tc>
          <w:tcPr>
            <w:tcW w:w="952" w:type="pct"/>
            <w:vMerge/>
            <w:vAlign w:val="center"/>
          </w:tcPr>
          <w:p w:rsidR="00CF193D" w:rsidRPr="00CF193D" w:rsidRDefault="00CF193D" w:rsidP="00FE3C81">
            <w:pPr>
              <w:autoSpaceDE w:val="0"/>
              <w:autoSpaceDN w:val="0"/>
              <w:adjustRightInd w:val="0"/>
              <w:spacing w:line="201" w:lineRule="atLeast"/>
              <w:jc w:val="left"/>
              <w:rPr>
                <w:rFonts w:cs="Gill Sans MT"/>
                <w:color w:val="000000"/>
                <w:sz w:val="16"/>
                <w:szCs w:val="16"/>
              </w:rPr>
            </w:pPr>
          </w:p>
        </w:tc>
        <w:tc>
          <w:tcPr>
            <w:tcW w:w="1539"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3.1.1.1.2 Bosque denso alto inundable</w:t>
            </w:r>
          </w:p>
        </w:tc>
        <w:tc>
          <w:tcPr>
            <w:tcW w:w="520" w:type="pct"/>
            <w:vAlign w:val="center"/>
          </w:tcPr>
          <w:p w:rsidR="00CF193D" w:rsidRPr="00CF193D" w:rsidRDefault="00CF193D" w:rsidP="00FE3C81">
            <w:pPr>
              <w:autoSpaceDE w:val="0"/>
              <w:autoSpaceDN w:val="0"/>
              <w:adjustRightInd w:val="0"/>
              <w:spacing w:line="201" w:lineRule="atLeast"/>
              <w:jc w:val="right"/>
              <w:rPr>
                <w:rFonts w:cs="Gill Sans MT"/>
                <w:color w:val="000000"/>
                <w:sz w:val="16"/>
                <w:szCs w:val="16"/>
              </w:rPr>
            </w:pPr>
            <w:r w:rsidRPr="00CF193D">
              <w:rPr>
                <w:rFonts w:cs="Gill Sans MT"/>
                <w:color w:val="000000"/>
                <w:sz w:val="16"/>
                <w:szCs w:val="16"/>
              </w:rPr>
              <w:t xml:space="preserve">4.516.537 </w:t>
            </w:r>
          </w:p>
          <w:p w:rsidR="00CF193D" w:rsidRPr="00CF193D" w:rsidRDefault="00CF193D" w:rsidP="00FE3C81">
            <w:pPr>
              <w:jc w:val="right"/>
              <w:rPr>
                <w:rFonts w:cs="Gill Sans MT"/>
                <w:color w:val="000000"/>
                <w:sz w:val="16"/>
                <w:szCs w:val="16"/>
              </w:rPr>
            </w:pP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ign w:val="center"/>
          </w:tcPr>
          <w:p w:rsidR="00CF193D" w:rsidRPr="00CF193D" w:rsidRDefault="00CF193D" w:rsidP="00FE3C81">
            <w:pPr>
              <w:jc w:val="left"/>
              <w:rPr>
                <w:rFonts w:cs="Gill Sans MT"/>
                <w:color w:val="000000"/>
                <w:sz w:val="16"/>
                <w:szCs w:val="16"/>
              </w:rPr>
            </w:pPr>
          </w:p>
        </w:tc>
        <w:tc>
          <w:tcPr>
            <w:tcW w:w="952" w:type="pct"/>
            <w:vMerge w:val="restart"/>
            <w:vAlign w:val="center"/>
          </w:tcPr>
          <w:p w:rsidR="00CF193D" w:rsidRPr="00CF193D" w:rsidRDefault="00CF193D" w:rsidP="00FE3C81">
            <w:pPr>
              <w:autoSpaceDE w:val="0"/>
              <w:autoSpaceDN w:val="0"/>
              <w:adjustRightInd w:val="0"/>
              <w:spacing w:line="201" w:lineRule="atLeast"/>
              <w:jc w:val="left"/>
              <w:rPr>
                <w:rFonts w:cs="Gill Sans MT"/>
                <w:color w:val="000000"/>
                <w:sz w:val="16"/>
                <w:szCs w:val="16"/>
              </w:rPr>
            </w:pPr>
            <w:r w:rsidRPr="00CF193D">
              <w:rPr>
                <w:rFonts w:cs="Gill Sans MT"/>
                <w:color w:val="000000"/>
                <w:sz w:val="16"/>
                <w:szCs w:val="16"/>
              </w:rPr>
              <w:t xml:space="preserve">3.1.1.2 </w:t>
            </w:r>
          </w:p>
          <w:p w:rsidR="00CF193D" w:rsidRPr="00CF193D" w:rsidRDefault="00CF193D" w:rsidP="00FE3C81">
            <w:pPr>
              <w:autoSpaceDE w:val="0"/>
              <w:autoSpaceDN w:val="0"/>
              <w:adjustRightInd w:val="0"/>
              <w:spacing w:line="201" w:lineRule="atLeast"/>
              <w:jc w:val="left"/>
              <w:rPr>
                <w:rFonts w:cs="Gill Sans MT"/>
                <w:color w:val="000000"/>
                <w:sz w:val="16"/>
                <w:szCs w:val="16"/>
              </w:rPr>
            </w:pPr>
            <w:r w:rsidRPr="00CF193D">
              <w:rPr>
                <w:rFonts w:cs="Gill Sans MT"/>
                <w:color w:val="000000"/>
                <w:sz w:val="16"/>
                <w:szCs w:val="16"/>
              </w:rPr>
              <w:t xml:space="preserve">Bosque denso bajo </w:t>
            </w:r>
          </w:p>
          <w:p w:rsidR="00CF193D" w:rsidRPr="00CF193D" w:rsidRDefault="00CF193D" w:rsidP="00FE3C81">
            <w:pPr>
              <w:jc w:val="left"/>
              <w:rPr>
                <w:rFonts w:cs="Gill Sans MT"/>
                <w:color w:val="000000"/>
                <w:sz w:val="16"/>
                <w:szCs w:val="16"/>
              </w:rPr>
            </w:pPr>
          </w:p>
        </w:tc>
        <w:tc>
          <w:tcPr>
            <w:tcW w:w="1539"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3.1.1.2.1 Bosque denso bajo de tierra firme</w:t>
            </w:r>
          </w:p>
        </w:tc>
        <w:tc>
          <w:tcPr>
            <w:tcW w:w="520" w:type="pct"/>
            <w:vAlign w:val="center"/>
          </w:tcPr>
          <w:p w:rsidR="00CF193D" w:rsidRPr="00CF193D" w:rsidRDefault="00CF193D" w:rsidP="00FE3C81">
            <w:pPr>
              <w:autoSpaceDE w:val="0"/>
              <w:autoSpaceDN w:val="0"/>
              <w:adjustRightInd w:val="0"/>
              <w:spacing w:line="201" w:lineRule="atLeast"/>
              <w:jc w:val="right"/>
              <w:rPr>
                <w:rFonts w:cs="Gill Sans MT"/>
                <w:color w:val="000000"/>
                <w:sz w:val="16"/>
                <w:szCs w:val="16"/>
              </w:rPr>
            </w:pPr>
            <w:r w:rsidRPr="00CF193D">
              <w:rPr>
                <w:rFonts w:cs="Gill Sans MT"/>
                <w:color w:val="000000"/>
                <w:sz w:val="16"/>
                <w:szCs w:val="16"/>
              </w:rPr>
              <w:t xml:space="preserve">1.901.056 </w:t>
            </w:r>
          </w:p>
          <w:p w:rsidR="00CF193D" w:rsidRPr="00CF193D" w:rsidRDefault="00CF193D" w:rsidP="00FE3C81">
            <w:pPr>
              <w:jc w:val="right"/>
              <w:rPr>
                <w:rFonts w:cs="Gill Sans MT"/>
                <w:color w:val="000000"/>
                <w:sz w:val="16"/>
                <w:szCs w:val="16"/>
              </w:rPr>
            </w:pP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ign w:val="center"/>
          </w:tcPr>
          <w:p w:rsidR="00CF193D" w:rsidRPr="00CF193D" w:rsidRDefault="00CF193D" w:rsidP="00FE3C81">
            <w:pPr>
              <w:jc w:val="left"/>
              <w:rPr>
                <w:rFonts w:cs="Gill Sans MT"/>
                <w:color w:val="000000"/>
                <w:sz w:val="16"/>
                <w:szCs w:val="16"/>
              </w:rPr>
            </w:pPr>
          </w:p>
        </w:tc>
        <w:tc>
          <w:tcPr>
            <w:tcW w:w="952" w:type="pct"/>
            <w:vMerge/>
            <w:vAlign w:val="center"/>
          </w:tcPr>
          <w:p w:rsidR="00CF193D" w:rsidRPr="00CF193D" w:rsidRDefault="00CF193D" w:rsidP="00FE3C81">
            <w:pPr>
              <w:jc w:val="left"/>
              <w:rPr>
                <w:rFonts w:cs="Gill Sans MT"/>
                <w:color w:val="000000"/>
                <w:sz w:val="16"/>
                <w:szCs w:val="16"/>
              </w:rPr>
            </w:pPr>
          </w:p>
        </w:tc>
        <w:tc>
          <w:tcPr>
            <w:tcW w:w="1539" w:type="pct"/>
            <w:vAlign w:val="center"/>
          </w:tcPr>
          <w:p w:rsidR="00CF193D" w:rsidRPr="00CF193D" w:rsidRDefault="00CF193D" w:rsidP="00C0397A">
            <w:pPr>
              <w:autoSpaceDE w:val="0"/>
              <w:autoSpaceDN w:val="0"/>
              <w:adjustRightInd w:val="0"/>
              <w:spacing w:line="201" w:lineRule="atLeast"/>
              <w:jc w:val="left"/>
              <w:rPr>
                <w:rFonts w:cs="Gill Sans MT"/>
                <w:color w:val="000000"/>
                <w:sz w:val="16"/>
                <w:szCs w:val="16"/>
              </w:rPr>
            </w:pPr>
            <w:r w:rsidRPr="00CF193D">
              <w:rPr>
                <w:rFonts w:cs="Gill Sans MT"/>
                <w:color w:val="000000"/>
                <w:sz w:val="16"/>
                <w:szCs w:val="16"/>
              </w:rPr>
              <w:t>3.1.1.2.2 Bosque denso bajo inundable</w:t>
            </w:r>
          </w:p>
        </w:tc>
        <w:tc>
          <w:tcPr>
            <w:tcW w:w="520" w:type="pct"/>
            <w:vAlign w:val="center"/>
          </w:tcPr>
          <w:p w:rsidR="00CF193D" w:rsidRPr="00CF193D" w:rsidRDefault="00CF193D" w:rsidP="00FE3C81">
            <w:pPr>
              <w:jc w:val="right"/>
              <w:rPr>
                <w:rFonts w:cs="Gill Sans MT"/>
                <w:color w:val="000000"/>
                <w:sz w:val="16"/>
                <w:szCs w:val="16"/>
              </w:rPr>
            </w:pPr>
            <w:r w:rsidRPr="00CF193D">
              <w:rPr>
                <w:rFonts w:cs="Gill Sans MT"/>
                <w:color w:val="000000"/>
                <w:sz w:val="16"/>
                <w:szCs w:val="16"/>
              </w:rPr>
              <w:t>581.755</w:t>
            </w: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restar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3.1.2 </w:t>
            </w:r>
          </w:p>
          <w:p w:rsidR="00CF193D" w:rsidRPr="00CF193D" w:rsidRDefault="00CF193D" w:rsidP="00FE3C81">
            <w:pPr>
              <w:jc w:val="left"/>
              <w:rPr>
                <w:rFonts w:cs="Gill Sans MT"/>
                <w:color w:val="000000"/>
                <w:sz w:val="16"/>
                <w:szCs w:val="16"/>
              </w:rPr>
            </w:pPr>
            <w:r w:rsidRPr="00CF193D">
              <w:rPr>
                <w:rFonts w:cs="Gill Sans MT"/>
                <w:color w:val="000000"/>
                <w:sz w:val="16"/>
                <w:szCs w:val="16"/>
              </w:rPr>
              <w:t>Bosque abierto</w:t>
            </w:r>
          </w:p>
          <w:p w:rsidR="00CF193D" w:rsidRPr="00CF193D" w:rsidRDefault="00CF193D" w:rsidP="00FE3C81">
            <w:pPr>
              <w:jc w:val="left"/>
              <w:rPr>
                <w:rFonts w:cs="Gill Sans MT"/>
                <w:color w:val="000000"/>
                <w:sz w:val="16"/>
                <w:szCs w:val="16"/>
              </w:rPr>
            </w:pPr>
            <w:r w:rsidRPr="00CF193D">
              <w:rPr>
                <w:rFonts w:cs="Gill Sans MT"/>
                <w:color w:val="000000"/>
                <w:sz w:val="16"/>
                <w:szCs w:val="16"/>
              </w:rPr>
              <w:t>175,316 ha.</w:t>
            </w:r>
          </w:p>
        </w:tc>
        <w:tc>
          <w:tcPr>
            <w:tcW w:w="952" w:type="pct"/>
            <w:vMerge w:val="restar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3.1.2.1 </w:t>
            </w:r>
          </w:p>
          <w:p w:rsidR="00CF193D" w:rsidRPr="00CF193D" w:rsidRDefault="00CF193D" w:rsidP="00FE3C81">
            <w:pPr>
              <w:jc w:val="left"/>
              <w:rPr>
                <w:rFonts w:cs="Gill Sans MT"/>
                <w:color w:val="000000"/>
                <w:sz w:val="16"/>
                <w:szCs w:val="16"/>
              </w:rPr>
            </w:pPr>
            <w:r w:rsidRPr="00CF193D">
              <w:rPr>
                <w:rFonts w:cs="Gill Sans MT"/>
                <w:color w:val="000000"/>
                <w:sz w:val="16"/>
                <w:szCs w:val="16"/>
              </w:rPr>
              <w:t>Bosque</w:t>
            </w:r>
          </w:p>
          <w:p w:rsidR="00CF193D" w:rsidRPr="00CF193D" w:rsidRDefault="00CF193D" w:rsidP="00FE3C81">
            <w:pPr>
              <w:jc w:val="left"/>
              <w:rPr>
                <w:rFonts w:cs="Gill Sans MT"/>
                <w:color w:val="000000"/>
                <w:sz w:val="16"/>
                <w:szCs w:val="16"/>
              </w:rPr>
            </w:pPr>
            <w:r w:rsidRPr="00CF193D">
              <w:rPr>
                <w:rFonts w:cs="Gill Sans MT"/>
                <w:color w:val="000000"/>
                <w:sz w:val="16"/>
                <w:szCs w:val="16"/>
              </w:rPr>
              <w:t>abierto alto</w:t>
            </w:r>
          </w:p>
        </w:tc>
        <w:tc>
          <w:tcPr>
            <w:tcW w:w="1539"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3.1.2.1.1 Bosque abierto alto de tierra</w:t>
            </w:r>
          </w:p>
          <w:p w:rsidR="00CF193D" w:rsidRPr="00CF193D" w:rsidRDefault="00CF193D" w:rsidP="00FE3C81">
            <w:pPr>
              <w:jc w:val="left"/>
              <w:rPr>
                <w:rFonts w:cs="Gill Sans MT"/>
                <w:color w:val="000000"/>
                <w:sz w:val="16"/>
                <w:szCs w:val="16"/>
              </w:rPr>
            </w:pPr>
            <w:r w:rsidRPr="00CF193D">
              <w:rPr>
                <w:rFonts w:cs="Gill Sans MT"/>
                <w:color w:val="000000"/>
                <w:sz w:val="16"/>
                <w:szCs w:val="16"/>
              </w:rPr>
              <w:t>firme</w:t>
            </w:r>
          </w:p>
          <w:p w:rsidR="00CF193D" w:rsidRPr="00CF193D" w:rsidRDefault="00CF193D" w:rsidP="00FE3C81">
            <w:pPr>
              <w:jc w:val="left"/>
              <w:rPr>
                <w:rFonts w:cs="Gill Sans MT"/>
                <w:color w:val="000000"/>
                <w:sz w:val="16"/>
                <w:szCs w:val="16"/>
              </w:rPr>
            </w:pPr>
          </w:p>
        </w:tc>
        <w:tc>
          <w:tcPr>
            <w:tcW w:w="520" w:type="pct"/>
            <w:vAlign w:val="center"/>
          </w:tcPr>
          <w:p w:rsidR="00CF193D" w:rsidRPr="00CF193D" w:rsidRDefault="00CF193D" w:rsidP="00FE3C81">
            <w:pPr>
              <w:jc w:val="right"/>
              <w:rPr>
                <w:rFonts w:cs="Gill Sans MT"/>
                <w:color w:val="000000"/>
                <w:sz w:val="16"/>
                <w:szCs w:val="16"/>
              </w:rPr>
            </w:pPr>
            <w:r w:rsidRPr="00CF193D">
              <w:rPr>
                <w:rFonts w:cs="Gill Sans MT"/>
                <w:color w:val="000000"/>
                <w:sz w:val="16"/>
                <w:szCs w:val="16"/>
              </w:rPr>
              <w:t>35.062</w:t>
            </w: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ign w:val="center"/>
          </w:tcPr>
          <w:p w:rsidR="00CF193D" w:rsidRPr="00CF193D" w:rsidRDefault="00CF193D" w:rsidP="00FE3C81">
            <w:pPr>
              <w:jc w:val="left"/>
              <w:rPr>
                <w:rFonts w:cs="Gill Sans MT"/>
                <w:color w:val="000000"/>
                <w:sz w:val="16"/>
                <w:szCs w:val="16"/>
              </w:rPr>
            </w:pPr>
          </w:p>
        </w:tc>
        <w:tc>
          <w:tcPr>
            <w:tcW w:w="952" w:type="pct"/>
            <w:vMerge/>
            <w:vAlign w:val="center"/>
          </w:tcPr>
          <w:p w:rsidR="00CF193D" w:rsidRPr="00CF193D" w:rsidRDefault="00CF193D" w:rsidP="00FE3C81">
            <w:pPr>
              <w:jc w:val="left"/>
              <w:rPr>
                <w:rFonts w:cs="Gill Sans MT"/>
                <w:color w:val="000000"/>
                <w:sz w:val="16"/>
                <w:szCs w:val="16"/>
              </w:rPr>
            </w:pPr>
          </w:p>
        </w:tc>
        <w:tc>
          <w:tcPr>
            <w:tcW w:w="1539"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3.1.2.1.2 Bosque abierto alto inundable </w:t>
            </w:r>
          </w:p>
        </w:tc>
        <w:tc>
          <w:tcPr>
            <w:tcW w:w="520" w:type="pct"/>
            <w:vAlign w:val="center"/>
          </w:tcPr>
          <w:p w:rsidR="00CF193D" w:rsidRPr="00CF193D" w:rsidRDefault="00CF193D" w:rsidP="00FE3C81">
            <w:pPr>
              <w:jc w:val="right"/>
              <w:rPr>
                <w:rFonts w:cs="Gill Sans MT"/>
                <w:color w:val="000000"/>
                <w:sz w:val="16"/>
                <w:szCs w:val="16"/>
              </w:rPr>
            </w:pPr>
            <w:r w:rsidRPr="00CF193D">
              <w:rPr>
                <w:rFonts w:cs="Gill Sans MT"/>
                <w:color w:val="000000"/>
                <w:sz w:val="16"/>
                <w:szCs w:val="16"/>
              </w:rPr>
              <w:t>6.820</w:t>
            </w: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ign w:val="center"/>
          </w:tcPr>
          <w:p w:rsidR="00CF193D" w:rsidRPr="00CF193D" w:rsidRDefault="00CF193D" w:rsidP="00FE3C81">
            <w:pPr>
              <w:jc w:val="left"/>
              <w:rPr>
                <w:rFonts w:cs="Gill Sans MT"/>
                <w:color w:val="000000"/>
                <w:sz w:val="16"/>
                <w:szCs w:val="16"/>
              </w:rPr>
            </w:pPr>
          </w:p>
        </w:tc>
        <w:tc>
          <w:tcPr>
            <w:tcW w:w="952" w:type="pct"/>
            <w:vMerge w:val="restar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3.1.2.2 </w:t>
            </w:r>
          </w:p>
          <w:p w:rsidR="00CF193D" w:rsidRPr="00CF193D" w:rsidRDefault="00CF193D" w:rsidP="00FE3C81">
            <w:pPr>
              <w:jc w:val="left"/>
              <w:rPr>
                <w:rFonts w:cs="Gill Sans MT"/>
                <w:color w:val="000000"/>
                <w:sz w:val="16"/>
                <w:szCs w:val="16"/>
              </w:rPr>
            </w:pPr>
            <w:r w:rsidRPr="00CF193D">
              <w:rPr>
                <w:rFonts w:cs="Gill Sans MT"/>
                <w:color w:val="000000"/>
                <w:sz w:val="16"/>
                <w:szCs w:val="16"/>
              </w:rPr>
              <w:t>Bosque</w:t>
            </w:r>
          </w:p>
          <w:p w:rsidR="00CF193D" w:rsidRPr="00CF193D" w:rsidRDefault="00CF193D" w:rsidP="00FE3C81">
            <w:pPr>
              <w:jc w:val="left"/>
              <w:rPr>
                <w:rFonts w:cs="Gill Sans MT"/>
                <w:color w:val="000000"/>
                <w:sz w:val="16"/>
                <w:szCs w:val="16"/>
              </w:rPr>
            </w:pPr>
            <w:r w:rsidRPr="00CF193D">
              <w:rPr>
                <w:rFonts w:cs="Gill Sans MT"/>
                <w:color w:val="000000"/>
                <w:sz w:val="16"/>
                <w:szCs w:val="16"/>
              </w:rPr>
              <w:t>abierto bajo</w:t>
            </w:r>
          </w:p>
        </w:tc>
        <w:tc>
          <w:tcPr>
            <w:tcW w:w="1539"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3.1.2.2.1 Bosque abierto bajo de tierra</w:t>
            </w:r>
          </w:p>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firme </w:t>
            </w:r>
          </w:p>
        </w:tc>
        <w:tc>
          <w:tcPr>
            <w:tcW w:w="520" w:type="pct"/>
            <w:vAlign w:val="center"/>
          </w:tcPr>
          <w:p w:rsidR="00CF193D" w:rsidRPr="00CF193D" w:rsidRDefault="00CF193D" w:rsidP="00FE3C81">
            <w:pPr>
              <w:jc w:val="right"/>
              <w:rPr>
                <w:rFonts w:cs="Gill Sans MT"/>
                <w:color w:val="000000"/>
                <w:sz w:val="16"/>
                <w:szCs w:val="16"/>
              </w:rPr>
            </w:pPr>
            <w:r w:rsidRPr="00CF193D">
              <w:rPr>
                <w:rFonts w:cs="Gill Sans MT"/>
                <w:color w:val="000000"/>
                <w:sz w:val="16"/>
                <w:szCs w:val="16"/>
              </w:rPr>
              <w:t>12.812</w:t>
            </w: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Merge/>
            <w:vAlign w:val="center"/>
          </w:tcPr>
          <w:p w:rsidR="00CF193D" w:rsidRPr="00CF193D" w:rsidRDefault="00CF193D" w:rsidP="00FE3C81">
            <w:pPr>
              <w:jc w:val="left"/>
              <w:rPr>
                <w:rFonts w:cs="Gill Sans MT"/>
                <w:color w:val="000000"/>
                <w:sz w:val="16"/>
                <w:szCs w:val="16"/>
              </w:rPr>
            </w:pPr>
          </w:p>
        </w:tc>
        <w:tc>
          <w:tcPr>
            <w:tcW w:w="952" w:type="pct"/>
            <w:vMerge/>
            <w:vAlign w:val="center"/>
          </w:tcPr>
          <w:p w:rsidR="00CF193D" w:rsidRPr="00CF193D" w:rsidRDefault="00CF193D" w:rsidP="00FE3C81">
            <w:pPr>
              <w:jc w:val="left"/>
              <w:rPr>
                <w:rFonts w:cs="Gill Sans MT"/>
                <w:color w:val="000000"/>
                <w:sz w:val="16"/>
                <w:szCs w:val="16"/>
              </w:rPr>
            </w:pPr>
          </w:p>
        </w:tc>
        <w:tc>
          <w:tcPr>
            <w:tcW w:w="1539"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3.1.2.2.2 Bosque abierto bajo inundable </w:t>
            </w:r>
          </w:p>
        </w:tc>
        <w:tc>
          <w:tcPr>
            <w:tcW w:w="520" w:type="pct"/>
            <w:vAlign w:val="center"/>
          </w:tcPr>
          <w:p w:rsidR="00CF193D" w:rsidRPr="00CF193D" w:rsidRDefault="00CF193D" w:rsidP="00FE3C81">
            <w:pPr>
              <w:jc w:val="right"/>
              <w:rPr>
                <w:rFonts w:cs="Gill Sans MT"/>
                <w:color w:val="000000"/>
                <w:sz w:val="16"/>
                <w:szCs w:val="16"/>
              </w:rPr>
            </w:pPr>
            <w:r w:rsidRPr="00CF193D">
              <w:rPr>
                <w:rFonts w:cs="Gill Sans MT"/>
                <w:color w:val="000000"/>
                <w:sz w:val="16"/>
                <w:szCs w:val="16"/>
              </w:rPr>
              <w:t>120.622</w:t>
            </w: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3.1.4 </w:t>
            </w:r>
          </w:p>
          <w:p w:rsidR="00CF193D" w:rsidRPr="00CF193D" w:rsidRDefault="00CF193D" w:rsidP="00FE3C81">
            <w:pPr>
              <w:jc w:val="left"/>
              <w:rPr>
                <w:rFonts w:cs="Gill Sans MT"/>
                <w:color w:val="000000"/>
                <w:sz w:val="16"/>
                <w:szCs w:val="16"/>
              </w:rPr>
            </w:pPr>
            <w:r w:rsidRPr="00CF193D">
              <w:rPr>
                <w:rFonts w:cs="Gill Sans MT"/>
                <w:color w:val="000000"/>
                <w:sz w:val="16"/>
                <w:szCs w:val="16"/>
              </w:rPr>
              <w:t>Bosque de galería</w:t>
            </w:r>
          </w:p>
        </w:tc>
        <w:tc>
          <w:tcPr>
            <w:tcW w:w="2491" w:type="pct"/>
            <w:gridSpan w:val="2"/>
            <w:vAlign w:val="center"/>
          </w:tcPr>
          <w:p w:rsidR="00CF193D" w:rsidRPr="00CF193D" w:rsidRDefault="00CF193D" w:rsidP="00FE3C81">
            <w:pPr>
              <w:jc w:val="left"/>
              <w:rPr>
                <w:rFonts w:cs="Gill Sans MT"/>
                <w:color w:val="000000"/>
                <w:sz w:val="16"/>
                <w:szCs w:val="16"/>
              </w:rPr>
            </w:pPr>
          </w:p>
        </w:tc>
        <w:tc>
          <w:tcPr>
            <w:tcW w:w="520" w:type="pct"/>
            <w:vAlign w:val="center"/>
          </w:tcPr>
          <w:p w:rsidR="00CF193D" w:rsidRPr="00CF193D" w:rsidRDefault="00CF193D" w:rsidP="00FE3C81">
            <w:pPr>
              <w:autoSpaceDE w:val="0"/>
              <w:autoSpaceDN w:val="0"/>
              <w:adjustRightInd w:val="0"/>
              <w:spacing w:line="201" w:lineRule="atLeast"/>
              <w:jc w:val="right"/>
              <w:rPr>
                <w:rFonts w:cs="Gill Sans MT"/>
                <w:color w:val="000000"/>
                <w:sz w:val="16"/>
                <w:szCs w:val="16"/>
              </w:rPr>
            </w:pPr>
            <w:r w:rsidRPr="00CF193D">
              <w:rPr>
                <w:rFonts w:cs="Gill Sans MT"/>
                <w:color w:val="000000"/>
                <w:sz w:val="16"/>
                <w:szCs w:val="16"/>
              </w:rPr>
              <w:t xml:space="preserve">2.583.973 </w:t>
            </w:r>
          </w:p>
          <w:p w:rsidR="00CF193D" w:rsidRPr="00CF193D" w:rsidRDefault="00CF193D" w:rsidP="00FE3C81">
            <w:pPr>
              <w:jc w:val="right"/>
              <w:rPr>
                <w:rFonts w:cs="Gill Sans MT"/>
                <w:color w:val="000000"/>
                <w:sz w:val="16"/>
                <w:szCs w:val="16"/>
              </w:rPr>
            </w:pPr>
          </w:p>
        </w:tc>
      </w:tr>
      <w:tr w:rsidR="00CF193D" w:rsidRPr="00CF193D" w:rsidTr="00DD6A51">
        <w:tc>
          <w:tcPr>
            <w:tcW w:w="547" w:type="pct"/>
            <w:vMerge/>
            <w:shd w:val="clear" w:color="auto" w:fill="C2D69B" w:themeFill="accent3" w:themeFillTint="99"/>
            <w:vAlign w:val="center"/>
          </w:tcPr>
          <w:p w:rsidR="00CF193D" w:rsidRPr="00CF193D" w:rsidRDefault="00CF193D" w:rsidP="00FE3C81">
            <w:pPr>
              <w:jc w:val="left"/>
              <w:rPr>
                <w:rFonts w:cs="Gill Sans MT"/>
                <w:color w:val="000000"/>
                <w:sz w:val="16"/>
                <w:szCs w:val="16"/>
              </w:rPr>
            </w:pPr>
          </w:p>
        </w:tc>
        <w:tc>
          <w:tcPr>
            <w:tcW w:w="589" w:type="pct"/>
            <w:vMerge/>
            <w:vAlign w:val="center"/>
          </w:tcPr>
          <w:p w:rsidR="00CF193D" w:rsidRPr="00CF193D" w:rsidRDefault="00CF193D" w:rsidP="00FE3C81">
            <w:pPr>
              <w:jc w:val="left"/>
              <w:rPr>
                <w:rFonts w:cs="Gill Sans MT"/>
                <w:color w:val="000000"/>
                <w:sz w:val="16"/>
                <w:szCs w:val="16"/>
              </w:rPr>
            </w:pPr>
          </w:p>
        </w:tc>
        <w:tc>
          <w:tcPr>
            <w:tcW w:w="853" w:type="pct"/>
            <w:vAlign w:val="center"/>
          </w:tcPr>
          <w:p w:rsidR="00CF193D" w:rsidRPr="00CF193D" w:rsidRDefault="00CF193D" w:rsidP="00FE3C81">
            <w:pPr>
              <w:jc w:val="left"/>
              <w:rPr>
                <w:rFonts w:cs="Gill Sans MT"/>
                <w:color w:val="000000"/>
                <w:sz w:val="16"/>
                <w:szCs w:val="16"/>
              </w:rPr>
            </w:pPr>
            <w:r w:rsidRPr="00CF193D">
              <w:rPr>
                <w:rFonts w:cs="Gill Sans MT"/>
                <w:color w:val="000000"/>
                <w:sz w:val="16"/>
                <w:szCs w:val="16"/>
              </w:rPr>
              <w:t xml:space="preserve">3.1.5 </w:t>
            </w:r>
          </w:p>
          <w:p w:rsidR="00CF193D" w:rsidRPr="00CF193D" w:rsidRDefault="00CF193D" w:rsidP="00C0397A">
            <w:pPr>
              <w:jc w:val="left"/>
              <w:rPr>
                <w:rFonts w:cs="Gill Sans MT"/>
                <w:color w:val="000000"/>
                <w:sz w:val="16"/>
                <w:szCs w:val="16"/>
              </w:rPr>
            </w:pPr>
            <w:r w:rsidRPr="00CF193D">
              <w:rPr>
                <w:rFonts w:cs="Gill Sans MT"/>
                <w:color w:val="000000"/>
                <w:sz w:val="16"/>
                <w:szCs w:val="16"/>
              </w:rPr>
              <w:t>Plantación</w:t>
            </w:r>
            <w:r w:rsidR="00C0397A">
              <w:rPr>
                <w:rFonts w:cs="Gill Sans MT"/>
                <w:color w:val="000000"/>
                <w:sz w:val="16"/>
                <w:szCs w:val="16"/>
              </w:rPr>
              <w:t xml:space="preserve"> </w:t>
            </w:r>
            <w:r w:rsidRPr="00CF193D">
              <w:rPr>
                <w:rFonts w:cs="Gill Sans MT"/>
                <w:color w:val="000000"/>
                <w:sz w:val="16"/>
                <w:szCs w:val="16"/>
              </w:rPr>
              <w:t>forestal</w:t>
            </w:r>
          </w:p>
        </w:tc>
        <w:tc>
          <w:tcPr>
            <w:tcW w:w="2491" w:type="pct"/>
            <w:gridSpan w:val="2"/>
            <w:vAlign w:val="center"/>
          </w:tcPr>
          <w:p w:rsidR="00CF193D" w:rsidRPr="00CF193D" w:rsidRDefault="00CF193D" w:rsidP="00FE3C81">
            <w:pPr>
              <w:jc w:val="left"/>
              <w:rPr>
                <w:rFonts w:cs="Gill Sans MT"/>
                <w:color w:val="000000"/>
                <w:sz w:val="16"/>
                <w:szCs w:val="16"/>
              </w:rPr>
            </w:pPr>
          </w:p>
        </w:tc>
        <w:tc>
          <w:tcPr>
            <w:tcW w:w="520" w:type="pct"/>
            <w:vAlign w:val="center"/>
          </w:tcPr>
          <w:p w:rsidR="00CF193D" w:rsidRPr="00CF193D" w:rsidRDefault="00CF193D" w:rsidP="00FE3C81">
            <w:pPr>
              <w:jc w:val="right"/>
              <w:rPr>
                <w:rFonts w:cs="Gill Sans MT"/>
                <w:color w:val="000000"/>
                <w:sz w:val="16"/>
                <w:szCs w:val="16"/>
              </w:rPr>
            </w:pPr>
            <w:r w:rsidRPr="00CF193D">
              <w:rPr>
                <w:rFonts w:cs="Gill Sans MT"/>
                <w:color w:val="000000"/>
                <w:sz w:val="16"/>
                <w:szCs w:val="16"/>
              </w:rPr>
              <w:t>113.083</w:t>
            </w:r>
          </w:p>
        </w:tc>
      </w:tr>
      <w:tr w:rsidR="004A6A7F" w:rsidRPr="00CF193D" w:rsidTr="00DD6A51">
        <w:tc>
          <w:tcPr>
            <w:tcW w:w="547" w:type="pct"/>
            <w:vMerge/>
            <w:shd w:val="clear" w:color="auto" w:fill="C2D69B" w:themeFill="accent3" w:themeFillTint="99"/>
            <w:vAlign w:val="center"/>
          </w:tcPr>
          <w:p w:rsidR="004A6A7F" w:rsidRPr="00CF193D" w:rsidRDefault="004A6A7F" w:rsidP="00FE3C81">
            <w:pPr>
              <w:jc w:val="left"/>
              <w:rPr>
                <w:rFonts w:cs="Gill Sans MT"/>
                <w:color w:val="000000"/>
                <w:sz w:val="16"/>
                <w:szCs w:val="16"/>
              </w:rPr>
            </w:pPr>
          </w:p>
        </w:tc>
        <w:tc>
          <w:tcPr>
            <w:tcW w:w="589" w:type="pct"/>
            <w:vMerge w:val="restart"/>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Vegetación</w:t>
            </w:r>
          </w:p>
          <w:p w:rsidR="004A6A7F" w:rsidRPr="00CF193D" w:rsidRDefault="004A6A7F" w:rsidP="00FE3C81">
            <w:pPr>
              <w:jc w:val="left"/>
              <w:rPr>
                <w:rFonts w:cs="Gill Sans MT"/>
                <w:color w:val="000000"/>
                <w:sz w:val="16"/>
                <w:szCs w:val="16"/>
              </w:rPr>
            </w:pPr>
            <w:r w:rsidRPr="00CF193D">
              <w:rPr>
                <w:rFonts w:cs="Gill Sans MT"/>
                <w:color w:val="000000"/>
                <w:sz w:val="16"/>
                <w:szCs w:val="16"/>
              </w:rPr>
              <w:t>arbustiva</w:t>
            </w:r>
          </w:p>
          <w:p w:rsidR="004A6A7F" w:rsidRPr="00CF193D" w:rsidRDefault="004A6A7F" w:rsidP="00FE3C81">
            <w:pPr>
              <w:jc w:val="left"/>
              <w:rPr>
                <w:rFonts w:cs="Gill Sans MT"/>
                <w:color w:val="000000"/>
                <w:sz w:val="16"/>
                <w:szCs w:val="16"/>
              </w:rPr>
            </w:pPr>
            <w:r w:rsidRPr="00CF193D">
              <w:rPr>
                <w:rFonts w:cs="Gill Sans MT"/>
                <w:color w:val="000000"/>
                <w:sz w:val="16"/>
                <w:szCs w:val="16"/>
              </w:rPr>
              <w:t>2’974.553 ha.</w:t>
            </w:r>
          </w:p>
        </w:tc>
        <w:tc>
          <w:tcPr>
            <w:tcW w:w="853" w:type="pct"/>
            <w:vMerge w:val="restart"/>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 xml:space="preserve">3.2.2 </w:t>
            </w:r>
          </w:p>
          <w:p w:rsidR="004A6A7F" w:rsidRPr="00CF193D" w:rsidRDefault="004A6A7F" w:rsidP="00FE3C81">
            <w:pPr>
              <w:jc w:val="left"/>
              <w:rPr>
                <w:rFonts w:cs="Gill Sans MT"/>
                <w:color w:val="000000"/>
                <w:sz w:val="16"/>
                <w:szCs w:val="16"/>
              </w:rPr>
            </w:pPr>
            <w:r w:rsidRPr="00CF193D">
              <w:rPr>
                <w:rFonts w:cs="Gill Sans MT"/>
                <w:color w:val="000000"/>
                <w:sz w:val="16"/>
                <w:szCs w:val="16"/>
              </w:rPr>
              <w:t>Arbustal</w:t>
            </w:r>
          </w:p>
        </w:tc>
        <w:tc>
          <w:tcPr>
            <w:tcW w:w="2491" w:type="pct"/>
            <w:gridSpan w:val="2"/>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3.2.2.1</w:t>
            </w:r>
          </w:p>
          <w:p w:rsidR="004A6A7F" w:rsidRPr="00CF193D" w:rsidRDefault="004A6A7F" w:rsidP="00FE3C81">
            <w:pPr>
              <w:jc w:val="left"/>
              <w:rPr>
                <w:rFonts w:cs="Gill Sans MT"/>
                <w:color w:val="000000"/>
                <w:sz w:val="16"/>
                <w:szCs w:val="16"/>
              </w:rPr>
            </w:pPr>
            <w:r w:rsidRPr="00CF193D">
              <w:rPr>
                <w:rFonts w:cs="Gill Sans MT"/>
                <w:color w:val="000000"/>
                <w:sz w:val="16"/>
                <w:szCs w:val="16"/>
              </w:rPr>
              <w:t xml:space="preserve">Arbustal denso </w:t>
            </w:r>
          </w:p>
        </w:tc>
        <w:tc>
          <w:tcPr>
            <w:tcW w:w="520" w:type="pct"/>
            <w:vAlign w:val="center"/>
          </w:tcPr>
          <w:p w:rsidR="004A6A7F" w:rsidRPr="00CF193D" w:rsidRDefault="004A6A7F" w:rsidP="00FE3C81">
            <w:pPr>
              <w:jc w:val="right"/>
              <w:rPr>
                <w:rFonts w:cs="Gill Sans MT"/>
                <w:color w:val="000000"/>
                <w:sz w:val="16"/>
                <w:szCs w:val="16"/>
              </w:rPr>
            </w:pPr>
            <w:r w:rsidRPr="00CF193D">
              <w:rPr>
                <w:rFonts w:cs="Gill Sans MT"/>
                <w:color w:val="000000"/>
                <w:sz w:val="16"/>
                <w:szCs w:val="16"/>
              </w:rPr>
              <w:t>2.246.379</w:t>
            </w:r>
          </w:p>
        </w:tc>
      </w:tr>
      <w:tr w:rsidR="004A6A7F" w:rsidRPr="00CF193D" w:rsidTr="00DD6A51">
        <w:trPr>
          <w:trHeight w:val="401"/>
        </w:trPr>
        <w:tc>
          <w:tcPr>
            <w:tcW w:w="547" w:type="pct"/>
            <w:vMerge/>
            <w:tcBorders>
              <w:bottom w:val="single" w:sz="4" w:space="0" w:color="auto"/>
            </w:tcBorders>
            <w:shd w:val="clear" w:color="auto" w:fill="C2D69B" w:themeFill="accent3" w:themeFillTint="99"/>
            <w:vAlign w:val="center"/>
          </w:tcPr>
          <w:p w:rsidR="004A6A7F" w:rsidRPr="00CF193D" w:rsidRDefault="004A6A7F" w:rsidP="00FE3C81">
            <w:pPr>
              <w:jc w:val="left"/>
              <w:rPr>
                <w:rFonts w:cs="Gill Sans MT"/>
                <w:color w:val="000000"/>
                <w:sz w:val="16"/>
                <w:szCs w:val="16"/>
              </w:rPr>
            </w:pPr>
          </w:p>
        </w:tc>
        <w:tc>
          <w:tcPr>
            <w:tcW w:w="589" w:type="pct"/>
            <w:vMerge/>
            <w:tcBorders>
              <w:bottom w:val="single" w:sz="4" w:space="0" w:color="auto"/>
            </w:tcBorders>
            <w:vAlign w:val="center"/>
          </w:tcPr>
          <w:p w:rsidR="004A6A7F" w:rsidRPr="00CF193D" w:rsidRDefault="004A6A7F" w:rsidP="00FE3C81">
            <w:pPr>
              <w:jc w:val="left"/>
              <w:rPr>
                <w:rFonts w:cs="Gill Sans MT"/>
                <w:color w:val="000000"/>
                <w:sz w:val="16"/>
                <w:szCs w:val="16"/>
              </w:rPr>
            </w:pPr>
          </w:p>
        </w:tc>
        <w:tc>
          <w:tcPr>
            <w:tcW w:w="853" w:type="pct"/>
            <w:vMerge/>
            <w:tcBorders>
              <w:bottom w:val="single" w:sz="4" w:space="0" w:color="auto"/>
            </w:tcBorders>
            <w:vAlign w:val="center"/>
          </w:tcPr>
          <w:p w:rsidR="004A6A7F" w:rsidRPr="00CF193D" w:rsidRDefault="004A6A7F" w:rsidP="00FE3C81">
            <w:pPr>
              <w:jc w:val="left"/>
              <w:rPr>
                <w:rFonts w:cs="Gill Sans MT"/>
                <w:color w:val="000000"/>
                <w:sz w:val="16"/>
                <w:szCs w:val="16"/>
              </w:rPr>
            </w:pPr>
          </w:p>
        </w:tc>
        <w:tc>
          <w:tcPr>
            <w:tcW w:w="2491" w:type="pct"/>
            <w:gridSpan w:val="2"/>
            <w:tcBorders>
              <w:bottom w:val="single" w:sz="4" w:space="0" w:color="auto"/>
            </w:tcBorders>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3.2.2.2</w:t>
            </w:r>
          </w:p>
          <w:p w:rsidR="004A6A7F" w:rsidRPr="00CF193D" w:rsidRDefault="004A6A7F" w:rsidP="00FE3C81">
            <w:pPr>
              <w:jc w:val="left"/>
              <w:rPr>
                <w:rFonts w:cs="Gill Sans MT"/>
                <w:color w:val="000000"/>
                <w:sz w:val="16"/>
                <w:szCs w:val="16"/>
              </w:rPr>
            </w:pPr>
            <w:r w:rsidRPr="00CF193D">
              <w:rPr>
                <w:rFonts w:cs="Gill Sans MT"/>
                <w:color w:val="000000"/>
                <w:sz w:val="16"/>
                <w:szCs w:val="16"/>
              </w:rPr>
              <w:t>Arbustal abierto</w:t>
            </w:r>
          </w:p>
        </w:tc>
        <w:tc>
          <w:tcPr>
            <w:tcW w:w="520" w:type="pct"/>
            <w:tcBorders>
              <w:bottom w:val="single" w:sz="4" w:space="0" w:color="auto"/>
            </w:tcBorders>
            <w:vAlign w:val="center"/>
          </w:tcPr>
          <w:p w:rsidR="004A6A7F" w:rsidRPr="00CF193D" w:rsidRDefault="004A6A7F" w:rsidP="00FE3C81">
            <w:pPr>
              <w:jc w:val="right"/>
              <w:rPr>
                <w:rFonts w:cs="Gill Sans MT"/>
                <w:color w:val="000000"/>
                <w:sz w:val="16"/>
                <w:szCs w:val="16"/>
              </w:rPr>
            </w:pPr>
            <w:r w:rsidRPr="00CF193D">
              <w:rPr>
                <w:rFonts w:cs="Gill Sans MT"/>
                <w:color w:val="000000"/>
                <w:sz w:val="16"/>
                <w:szCs w:val="16"/>
              </w:rPr>
              <w:t>728.175</w:t>
            </w:r>
          </w:p>
        </w:tc>
      </w:tr>
      <w:tr w:rsidR="00CF193D" w:rsidRPr="00CF193D" w:rsidTr="00DD6A51">
        <w:trPr>
          <w:trHeight w:val="398"/>
        </w:trPr>
        <w:tc>
          <w:tcPr>
            <w:tcW w:w="4480" w:type="pct"/>
            <w:gridSpan w:val="5"/>
            <w:shd w:val="clear" w:color="auto" w:fill="C2D69B" w:themeFill="accent3" w:themeFillTint="99"/>
            <w:vAlign w:val="center"/>
          </w:tcPr>
          <w:p w:rsidR="00CF193D" w:rsidRPr="00CF193D" w:rsidRDefault="00CF193D" w:rsidP="00FE3C81">
            <w:pPr>
              <w:jc w:val="right"/>
              <w:rPr>
                <w:rFonts w:cs="Gill Sans MT"/>
                <w:b/>
                <w:color w:val="000000"/>
                <w:sz w:val="16"/>
                <w:szCs w:val="16"/>
              </w:rPr>
            </w:pPr>
            <w:r w:rsidRPr="00CF193D">
              <w:rPr>
                <w:rFonts w:cs="Gill Sans MT"/>
                <w:b/>
                <w:color w:val="000000"/>
                <w:sz w:val="16"/>
                <w:szCs w:val="16"/>
              </w:rPr>
              <w:t>SUBTOTAL</w:t>
            </w:r>
          </w:p>
        </w:tc>
        <w:tc>
          <w:tcPr>
            <w:tcW w:w="520" w:type="pct"/>
            <w:shd w:val="clear" w:color="auto" w:fill="C2D69B" w:themeFill="accent3" w:themeFillTint="99"/>
            <w:vAlign w:val="center"/>
          </w:tcPr>
          <w:p w:rsidR="00CF193D" w:rsidRPr="00CF193D" w:rsidRDefault="00CF193D" w:rsidP="00FE3C81">
            <w:pPr>
              <w:jc w:val="right"/>
              <w:rPr>
                <w:rFonts w:cs="Gill Sans MT"/>
                <w:b/>
                <w:color w:val="000000"/>
                <w:sz w:val="16"/>
                <w:szCs w:val="16"/>
              </w:rPr>
            </w:pPr>
            <w:r w:rsidRPr="00CF193D">
              <w:rPr>
                <w:rFonts w:cs="Gill Sans MT"/>
                <w:b/>
                <w:color w:val="000000"/>
                <w:sz w:val="16"/>
                <w:szCs w:val="16"/>
              </w:rPr>
              <w:t>60.703.476</w:t>
            </w:r>
          </w:p>
        </w:tc>
      </w:tr>
      <w:tr w:rsidR="004A6A7F" w:rsidRPr="00CF193D" w:rsidTr="00DD6A51">
        <w:trPr>
          <w:trHeight w:val="398"/>
        </w:trPr>
        <w:tc>
          <w:tcPr>
            <w:tcW w:w="547" w:type="pct"/>
            <w:vMerge w:val="restart"/>
            <w:shd w:val="clear" w:color="auto" w:fill="C2D69B" w:themeFill="accent3" w:themeFillTint="99"/>
            <w:vAlign w:val="center"/>
          </w:tcPr>
          <w:p w:rsidR="004A6A7F" w:rsidRPr="00CF193D" w:rsidRDefault="004A6A7F" w:rsidP="00FE3C81">
            <w:pPr>
              <w:jc w:val="left"/>
              <w:rPr>
                <w:rFonts w:cs="Gill Sans MT"/>
                <w:color w:val="000000"/>
                <w:sz w:val="16"/>
                <w:szCs w:val="16"/>
              </w:rPr>
            </w:pPr>
          </w:p>
        </w:tc>
        <w:tc>
          <w:tcPr>
            <w:tcW w:w="589" w:type="pct"/>
            <w:vMerge w:val="restart"/>
            <w:vAlign w:val="center"/>
          </w:tcPr>
          <w:p w:rsidR="004A6A7F" w:rsidRPr="00CF193D" w:rsidRDefault="004A6A7F" w:rsidP="00FE3C81">
            <w:pPr>
              <w:jc w:val="left"/>
              <w:rPr>
                <w:rFonts w:cs="Gill Sans MT"/>
                <w:color w:val="000000"/>
                <w:sz w:val="16"/>
                <w:szCs w:val="16"/>
              </w:rPr>
            </w:pPr>
          </w:p>
        </w:tc>
        <w:tc>
          <w:tcPr>
            <w:tcW w:w="853" w:type="pct"/>
            <w:vMerge w:val="restart"/>
            <w:vAlign w:val="center"/>
          </w:tcPr>
          <w:p w:rsidR="004A6A7F" w:rsidRDefault="004A6A7F" w:rsidP="00FE3C81">
            <w:pPr>
              <w:jc w:val="left"/>
              <w:rPr>
                <w:rFonts w:cs="Gill Sans MT"/>
                <w:color w:val="000000"/>
                <w:sz w:val="16"/>
                <w:szCs w:val="16"/>
              </w:rPr>
            </w:pPr>
            <w:r>
              <w:rPr>
                <w:rFonts w:cs="Gill Sans MT"/>
                <w:color w:val="000000"/>
                <w:sz w:val="16"/>
                <w:szCs w:val="16"/>
              </w:rPr>
              <w:t xml:space="preserve">3.1.3 </w:t>
            </w:r>
          </w:p>
          <w:p w:rsidR="004A6A7F" w:rsidRPr="00CF193D" w:rsidRDefault="004A6A7F" w:rsidP="00FE3C81">
            <w:pPr>
              <w:jc w:val="left"/>
              <w:rPr>
                <w:rFonts w:cs="Gill Sans MT"/>
                <w:color w:val="000000"/>
                <w:sz w:val="16"/>
                <w:szCs w:val="16"/>
              </w:rPr>
            </w:pPr>
            <w:r>
              <w:rPr>
                <w:rFonts w:cs="Gill Sans MT"/>
                <w:color w:val="000000"/>
                <w:sz w:val="16"/>
                <w:szCs w:val="16"/>
              </w:rPr>
              <w:t>Bosque fragmentado</w:t>
            </w:r>
          </w:p>
        </w:tc>
        <w:tc>
          <w:tcPr>
            <w:tcW w:w="2491" w:type="pct"/>
            <w:gridSpan w:val="2"/>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 xml:space="preserve">3.1.3.1 </w:t>
            </w:r>
          </w:p>
          <w:p w:rsidR="004A6A7F" w:rsidRPr="00CF193D" w:rsidRDefault="004A6A7F" w:rsidP="00FE3C81">
            <w:pPr>
              <w:jc w:val="left"/>
              <w:rPr>
                <w:rFonts w:cs="Gill Sans MT"/>
                <w:color w:val="000000"/>
                <w:sz w:val="16"/>
                <w:szCs w:val="16"/>
              </w:rPr>
            </w:pPr>
            <w:r w:rsidRPr="00CF193D">
              <w:rPr>
                <w:rFonts w:cs="Gill Sans MT"/>
                <w:color w:val="000000"/>
                <w:sz w:val="16"/>
                <w:szCs w:val="16"/>
              </w:rPr>
              <w:t>Bosque fragmentado</w:t>
            </w:r>
          </w:p>
          <w:p w:rsidR="004A6A7F" w:rsidRPr="00CF193D" w:rsidRDefault="004A6A7F" w:rsidP="00FE3C81">
            <w:pPr>
              <w:jc w:val="left"/>
              <w:rPr>
                <w:rFonts w:cs="Gill Sans MT"/>
                <w:color w:val="000000"/>
                <w:sz w:val="16"/>
                <w:szCs w:val="16"/>
              </w:rPr>
            </w:pPr>
            <w:r w:rsidRPr="00CF193D">
              <w:rPr>
                <w:rFonts w:cs="Gill Sans MT"/>
                <w:color w:val="000000"/>
                <w:sz w:val="16"/>
                <w:szCs w:val="16"/>
              </w:rPr>
              <w:t>con pastos y cultivos</w:t>
            </w:r>
          </w:p>
        </w:tc>
        <w:tc>
          <w:tcPr>
            <w:tcW w:w="520" w:type="pct"/>
            <w:vAlign w:val="center"/>
          </w:tcPr>
          <w:p w:rsidR="004A6A7F" w:rsidRPr="00CF193D" w:rsidRDefault="004A6A7F" w:rsidP="00FE3C81">
            <w:pPr>
              <w:jc w:val="right"/>
              <w:rPr>
                <w:rFonts w:cs="Gill Sans MT"/>
                <w:color w:val="000000"/>
                <w:sz w:val="16"/>
                <w:szCs w:val="16"/>
              </w:rPr>
            </w:pPr>
            <w:r w:rsidRPr="00CF193D">
              <w:rPr>
                <w:rFonts w:cs="Gill Sans MT"/>
                <w:color w:val="000000"/>
                <w:sz w:val="16"/>
                <w:szCs w:val="16"/>
              </w:rPr>
              <w:t>1.120.048</w:t>
            </w:r>
          </w:p>
        </w:tc>
      </w:tr>
      <w:tr w:rsidR="004A6A7F" w:rsidRPr="00CF193D" w:rsidTr="00DD6A51">
        <w:trPr>
          <w:trHeight w:val="398"/>
        </w:trPr>
        <w:tc>
          <w:tcPr>
            <w:tcW w:w="547" w:type="pct"/>
            <w:vMerge/>
            <w:shd w:val="clear" w:color="auto" w:fill="C2D69B" w:themeFill="accent3" w:themeFillTint="99"/>
            <w:vAlign w:val="center"/>
          </w:tcPr>
          <w:p w:rsidR="004A6A7F" w:rsidRPr="00CF193D" w:rsidRDefault="004A6A7F" w:rsidP="00FE3C81">
            <w:pPr>
              <w:jc w:val="left"/>
              <w:rPr>
                <w:rFonts w:cs="Gill Sans MT"/>
                <w:color w:val="000000"/>
                <w:sz w:val="16"/>
                <w:szCs w:val="16"/>
              </w:rPr>
            </w:pPr>
          </w:p>
        </w:tc>
        <w:tc>
          <w:tcPr>
            <w:tcW w:w="589" w:type="pct"/>
            <w:vMerge/>
            <w:vAlign w:val="center"/>
          </w:tcPr>
          <w:p w:rsidR="004A6A7F" w:rsidRPr="00CF193D" w:rsidRDefault="004A6A7F" w:rsidP="00FE3C81">
            <w:pPr>
              <w:jc w:val="left"/>
              <w:rPr>
                <w:rFonts w:cs="Gill Sans MT"/>
                <w:color w:val="000000"/>
                <w:sz w:val="16"/>
                <w:szCs w:val="16"/>
              </w:rPr>
            </w:pPr>
          </w:p>
        </w:tc>
        <w:tc>
          <w:tcPr>
            <w:tcW w:w="853" w:type="pct"/>
            <w:vMerge/>
            <w:vAlign w:val="center"/>
          </w:tcPr>
          <w:p w:rsidR="004A6A7F" w:rsidRPr="00CF193D" w:rsidRDefault="004A6A7F" w:rsidP="00FE3C81">
            <w:pPr>
              <w:jc w:val="left"/>
              <w:rPr>
                <w:rFonts w:cs="Gill Sans MT"/>
                <w:color w:val="000000"/>
                <w:sz w:val="16"/>
                <w:szCs w:val="16"/>
              </w:rPr>
            </w:pPr>
          </w:p>
        </w:tc>
        <w:tc>
          <w:tcPr>
            <w:tcW w:w="2491" w:type="pct"/>
            <w:gridSpan w:val="2"/>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 xml:space="preserve">3.1.3.2 </w:t>
            </w:r>
          </w:p>
          <w:p w:rsidR="004A6A7F" w:rsidRPr="00CF193D" w:rsidRDefault="004A6A7F" w:rsidP="00FE3C81">
            <w:pPr>
              <w:jc w:val="left"/>
              <w:rPr>
                <w:rFonts w:cs="Gill Sans MT"/>
                <w:color w:val="000000"/>
                <w:sz w:val="16"/>
                <w:szCs w:val="16"/>
              </w:rPr>
            </w:pPr>
            <w:r w:rsidRPr="00CF193D">
              <w:rPr>
                <w:rFonts w:cs="Gill Sans MT"/>
                <w:color w:val="000000"/>
                <w:sz w:val="16"/>
                <w:szCs w:val="16"/>
              </w:rPr>
              <w:t>Bosque fragmentado</w:t>
            </w:r>
          </w:p>
          <w:p w:rsidR="004A6A7F" w:rsidRPr="00CF193D" w:rsidRDefault="004A6A7F" w:rsidP="00FE3C81">
            <w:pPr>
              <w:jc w:val="left"/>
              <w:rPr>
                <w:rFonts w:cs="Gill Sans MT"/>
                <w:color w:val="000000"/>
                <w:sz w:val="16"/>
                <w:szCs w:val="16"/>
              </w:rPr>
            </w:pPr>
            <w:r w:rsidRPr="00CF193D">
              <w:rPr>
                <w:rFonts w:cs="Gill Sans MT"/>
                <w:color w:val="000000"/>
                <w:sz w:val="16"/>
                <w:szCs w:val="16"/>
              </w:rPr>
              <w:t>con vegetación secundaria</w:t>
            </w:r>
          </w:p>
        </w:tc>
        <w:tc>
          <w:tcPr>
            <w:tcW w:w="520" w:type="pct"/>
            <w:vAlign w:val="center"/>
          </w:tcPr>
          <w:p w:rsidR="004A6A7F" w:rsidRPr="00CF193D" w:rsidRDefault="004A6A7F" w:rsidP="00FE3C81">
            <w:pPr>
              <w:jc w:val="right"/>
              <w:rPr>
                <w:rFonts w:cs="Gill Sans MT"/>
                <w:color w:val="000000"/>
                <w:sz w:val="16"/>
                <w:szCs w:val="16"/>
              </w:rPr>
            </w:pPr>
            <w:r w:rsidRPr="00CF193D">
              <w:rPr>
                <w:rFonts w:cs="Gill Sans MT"/>
                <w:color w:val="000000"/>
                <w:sz w:val="16"/>
                <w:szCs w:val="16"/>
              </w:rPr>
              <w:t>514.581</w:t>
            </w:r>
          </w:p>
        </w:tc>
      </w:tr>
      <w:tr w:rsidR="004A6A7F" w:rsidRPr="00CF193D" w:rsidTr="00DD6A51">
        <w:trPr>
          <w:trHeight w:val="398"/>
        </w:trPr>
        <w:tc>
          <w:tcPr>
            <w:tcW w:w="547" w:type="pct"/>
            <w:vMerge/>
            <w:tcBorders>
              <w:bottom w:val="single" w:sz="4" w:space="0" w:color="auto"/>
            </w:tcBorders>
            <w:shd w:val="clear" w:color="auto" w:fill="C2D69B" w:themeFill="accent3" w:themeFillTint="99"/>
            <w:vAlign w:val="center"/>
          </w:tcPr>
          <w:p w:rsidR="004A6A7F" w:rsidRPr="00CF193D" w:rsidRDefault="004A6A7F" w:rsidP="00FE3C81">
            <w:pPr>
              <w:jc w:val="left"/>
              <w:rPr>
                <w:rFonts w:cs="Gill Sans MT"/>
                <w:color w:val="000000"/>
                <w:sz w:val="16"/>
                <w:szCs w:val="16"/>
              </w:rPr>
            </w:pPr>
          </w:p>
        </w:tc>
        <w:tc>
          <w:tcPr>
            <w:tcW w:w="589" w:type="pct"/>
            <w:vMerge/>
            <w:tcBorders>
              <w:bottom w:val="single" w:sz="4" w:space="0" w:color="auto"/>
            </w:tcBorders>
            <w:vAlign w:val="center"/>
          </w:tcPr>
          <w:p w:rsidR="004A6A7F" w:rsidRPr="00CF193D" w:rsidRDefault="004A6A7F" w:rsidP="00FE3C81">
            <w:pPr>
              <w:jc w:val="left"/>
              <w:rPr>
                <w:rFonts w:cs="Gill Sans MT"/>
                <w:color w:val="000000"/>
                <w:sz w:val="16"/>
                <w:szCs w:val="16"/>
              </w:rPr>
            </w:pPr>
          </w:p>
        </w:tc>
        <w:tc>
          <w:tcPr>
            <w:tcW w:w="853" w:type="pct"/>
            <w:tcBorders>
              <w:bottom w:val="single" w:sz="4" w:space="0" w:color="auto"/>
            </w:tcBorders>
            <w:vAlign w:val="center"/>
          </w:tcPr>
          <w:p w:rsidR="004A6A7F" w:rsidRPr="00CF193D" w:rsidRDefault="004A6A7F" w:rsidP="00FE3C81">
            <w:pPr>
              <w:jc w:val="left"/>
              <w:rPr>
                <w:rFonts w:cs="Gill Sans MT"/>
                <w:color w:val="000000"/>
                <w:sz w:val="16"/>
                <w:szCs w:val="16"/>
              </w:rPr>
            </w:pPr>
            <w:r w:rsidRPr="00CF193D">
              <w:rPr>
                <w:rFonts w:cs="Gill Sans MT"/>
                <w:color w:val="000000"/>
                <w:sz w:val="16"/>
                <w:szCs w:val="16"/>
              </w:rPr>
              <w:t>3.2.3 Áreas con</w:t>
            </w:r>
          </w:p>
          <w:p w:rsidR="004A6A7F" w:rsidRPr="00CF193D" w:rsidRDefault="004A6A7F" w:rsidP="00FE3C81">
            <w:pPr>
              <w:jc w:val="left"/>
              <w:rPr>
                <w:rFonts w:cs="Gill Sans MT"/>
                <w:color w:val="000000"/>
                <w:sz w:val="16"/>
                <w:szCs w:val="16"/>
              </w:rPr>
            </w:pPr>
            <w:r w:rsidRPr="00CF193D">
              <w:rPr>
                <w:rFonts w:cs="Gill Sans MT"/>
                <w:color w:val="000000"/>
                <w:sz w:val="16"/>
                <w:szCs w:val="16"/>
              </w:rPr>
              <w:t>vegetación herbácea</w:t>
            </w:r>
          </w:p>
          <w:p w:rsidR="004A6A7F" w:rsidRPr="00CF193D" w:rsidRDefault="004A6A7F" w:rsidP="00FE3C81">
            <w:pPr>
              <w:jc w:val="left"/>
              <w:rPr>
                <w:rFonts w:cs="Gill Sans MT"/>
                <w:color w:val="000000"/>
                <w:sz w:val="16"/>
                <w:szCs w:val="16"/>
              </w:rPr>
            </w:pPr>
            <w:r w:rsidRPr="00CF193D">
              <w:rPr>
                <w:rFonts w:cs="Gill Sans MT"/>
                <w:color w:val="000000"/>
                <w:sz w:val="16"/>
                <w:szCs w:val="16"/>
              </w:rPr>
              <w:t>y/o arbustiva</w:t>
            </w:r>
          </w:p>
        </w:tc>
        <w:tc>
          <w:tcPr>
            <w:tcW w:w="2491" w:type="pct"/>
            <w:gridSpan w:val="2"/>
            <w:tcBorders>
              <w:bottom w:val="single" w:sz="4" w:space="0" w:color="auto"/>
            </w:tcBorders>
            <w:vAlign w:val="center"/>
          </w:tcPr>
          <w:p w:rsidR="004A6A7F" w:rsidRPr="00CF193D" w:rsidRDefault="004A6A7F" w:rsidP="00FE3C81">
            <w:pPr>
              <w:jc w:val="left"/>
              <w:rPr>
                <w:rFonts w:cs="Gill Sans MT"/>
                <w:color w:val="000000"/>
                <w:sz w:val="16"/>
                <w:szCs w:val="16"/>
              </w:rPr>
            </w:pPr>
          </w:p>
        </w:tc>
        <w:tc>
          <w:tcPr>
            <w:tcW w:w="520" w:type="pct"/>
            <w:tcBorders>
              <w:bottom w:val="single" w:sz="4" w:space="0" w:color="auto"/>
            </w:tcBorders>
            <w:vAlign w:val="center"/>
          </w:tcPr>
          <w:p w:rsidR="004A6A7F" w:rsidRPr="00CF193D" w:rsidRDefault="004A6A7F" w:rsidP="00FE3C81">
            <w:pPr>
              <w:jc w:val="right"/>
              <w:rPr>
                <w:rFonts w:cs="Gill Sans MT"/>
                <w:color w:val="000000"/>
                <w:sz w:val="16"/>
                <w:szCs w:val="16"/>
              </w:rPr>
            </w:pPr>
            <w:r w:rsidRPr="00CF193D">
              <w:rPr>
                <w:rFonts w:cs="Gill Sans MT"/>
                <w:color w:val="000000"/>
                <w:sz w:val="16"/>
                <w:szCs w:val="16"/>
              </w:rPr>
              <w:t>2.882.977</w:t>
            </w:r>
          </w:p>
        </w:tc>
      </w:tr>
      <w:tr w:rsidR="00CF193D" w:rsidRPr="00CF193D" w:rsidTr="00DD6A51">
        <w:trPr>
          <w:trHeight w:val="398"/>
        </w:trPr>
        <w:tc>
          <w:tcPr>
            <w:tcW w:w="4480" w:type="pct"/>
            <w:gridSpan w:val="5"/>
            <w:tcBorders>
              <w:bottom w:val="single" w:sz="4" w:space="0" w:color="auto"/>
            </w:tcBorders>
            <w:shd w:val="clear" w:color="auto" w:fill="C2D69B" w:themeFill="accent3" w:themeFillTint="99"/>
            <w:vAlign w:val="center"/>
          </w:tcPr>
          <w:p w:rsidR="00CF193D" w:rsidRPr="00CF193D" w:rsidRDefault="00CF193D" w:rsidP="00FE3C81">
            <w:pPr>
              <w:jc w:val="right"/>
              <w:rPr>
                <w:rFonts w:cs="Gill Sans MT"/>
                <w:b/>
                <w:color w:val="000000"/>
                <w:sz w:val="16"/>
                <w:szCs w:val="16"/>
              </w:rPr>
            </w:pPr>
            <w:r w:rsidRPr="00CF193D">
              <w:rPr>
                <w:rFonts w:cs="Gill Sans MT"/>
                <w:b/>
                <w:color w:val="000000"/>
                <w:sz w:val="16"/>
                <w:szCs w:val="16"/>
              </w:rPr>
              <w:t>SUBTOTAL</w:t>
            </w:r>
          </w:p>
        </w:tc>
        <w:tc>
          <w:tcPr>
            <w:tcW w:w="520" w:type="pct"/>
            <w:tcBorders>
              <w:bottom w:val="single" w:sz="4" w:space="0" w:color="auto"/>
            </w:tcBorders>
            <w:shd w:val="clear" w:color="auto" w:fill="C2D69B" w:themeFill="accent3" w:themeFillTint="99"/>
            <w:vAlign w:val="center"/>
          </w:tcPr>
          <w:p w:rsidR="00CF193D" w:rsidRPr="00CF193D" w:rsidRDefault="00C0397A" w:rsidP="00FE3C81">
            <w:pPr>
              <w:jc w:val="right"/>
              <w:rPr>
                <w:rFonts w:cs="Gill Sans MT"/>
                <w:b/>
                <w:color w:val="000000"/>
                <w:sz w:val="16"/>
                <w:szCs w:val="16"/>
              </w:rPr>
            </w:pPr>
            <w:r w:rsidRPr="00C0397A">
              <w:rPr>
                <w:rFonts w:cs="Gill Sans MT"/>
                <w:b/>
                <w:color w:val="000000"/>
                <w:sz w:val="16"/>
                <w:szCs w:val="16"/>
              </w:rPr>
              <w:t>4</w:t>
            </w:r>
            <w:r>
              <w:rPr>
                <w:rFonts w:cs="Gill Sans MT"/>
                <w:b/>
                <w:color w:val="000000"/>
                <w:sz w:val="16"/>
                <w:szCs w:val="16"/>
              </w:rPr>
              <w:t>.</w:t>
            </w:r>
            <w:r w:rsidRPr="00C0397A">
              <w:rPr>
                <w:rFonts w:cs="Gill Sans MT"/>
                <w:b/>
                <w:color w:val="000000"/>
                <w:sz w:val="16"/>
                <w:szCs w:val="16"/>
              </w:rPr>
              <w:t>517</w:t>
            </w:r>
            <w:r>
              <w:rPr>
                <w:rFonts w:cs="Gill Sans MT"/>
                <w:b/>
                <w:color w:val="000000"/>
                <w:sz w:val="16"/>
                <w:szCs w:val="16"/>
              </w:rPr>
              <w:t>.</w:t>
            </w:r>
            <w:r w:rsidRPr="00C0397A">
              <w:rPr>
                <w:rFonts w:cs="Gill Sans MT"/>
                <w:b/>
                <w:color w:val="000000"/>
                <w:sz w:val="16"/>
                <w:szCs w:val="16"/>
              </w:rPr>
              <w:t>606</w:t>
            </w:r>
          </w:p>
        </w:tc>
      </w:tr>
      <w:tr w:rsidR="00CF193D" w:rsidRPr="00CF193D" w:rsidTr="00DD6A51">
        <w:trPr>
          <w:trHeight w:val="398"/>
        </w:trPr>
        <w:tc>
          <w:tcPr>
            <w:tcW w:w="4480" w:type="pct"/>
            <w:gridSpan w:val="5"/>
            <w:shd w:val="clear" w:color="auto" w:fill="C2D69B" w:themeFill="accent3" w:themeFillTint="99"/>
            <w:vAlign w:val="center"/>
          </w:tcPr>
          <w:p w:rsidR="00CF193D" w:rsidRPr="004A6A7F" w:rsidRDefault="00CF193D" w:rsidP="00FE3C81">
            <w:pPr>
              <w:jc w:val="right"/>
              <w:rPr>
                <w:rFonts w:cs="Gill Sans MT"/>
                <w:b/>
                <w:color w:val="000000"/>
                <w:sz w:val="16"/>
                <w:szCs w:val="16"/>
              </w:rPr>
            </w:pPr>
            <w:r w:rsidRPr="004A6A7F">
              <w:rPr>
                <w:rFonts w:cs="Gill Sans MT"/>
                <w:b/>
                <w:color w:val="000000"/>
                <w:sz w:val="16"/>
                <w:szCs w:val="16"/>
              </w:rPr>
              <w:t>TOTAL</w:t>
            </w:r>
          </w:p>
        </w:tc>
        <w:tc>
          <w:tcPr>
            <w:tcW w:w="520" w:type="pct"/>
            <w:shd w:val="clear" w:color="auto" w:fill="C2D69B" w:themeFill="accent3" w:themeFillTint="99"/>
            <w:vAlign w:val="center"/>
          </w:tcPr>
          <w:p w:rsidR="00CF193D" w:rsidRPr="004A6A7F" w:rsidRDefault="004A6A7F" w:rsidP="00FE3C81">
            <w:pPr>
              <w:jc w:val="right"/>
              <w:rPr>
                <w:rFonts w:cs="Gill Sans MT"/>
                <w:b/>
                <w:color w:val="000000"/>
                <w:sz w:val="16"/>
                <w:szCs w:val="16"/>
              </w:rPr>
            </w:pPr>
            <w:r w:rsidRPr="004A6A7F">
              <w:rPr>
                <w:rFonts w:cs="Gill Sans MT"/>
                <w:b/>
                <w:color w:val="000000"/>
                <w:sz w:val="16"/>
                <w:szCs w:val="16"/>
              </w:rPr>
              <w:t>65.221.082</w:t>
            </w:r>
          </w:p>
        </w:tc>
      </w:tr>
    </w:tbl>
    <w:p w:rsidR="00CF193D" w:rsidRPr="00DD6A51" w:rsidRDefault="00DD6A51" w:rsidP="00446ECB">
      <w:pPr>
        <w:pStyle w:val="Prrafodelista"/>
        <w:numPr>
          <w:ilvl w:val="0"/>
          <w:numId w:val="30"/>
        </w:numPr>
        <w:spacing w:before="120"/>
        <w:ind w:left="714" w:hanging="357"/>
        <w:contextualSpacing w:val="0"/>
        <w:rPr>
          <w:b/>
          <w:lang w:val="es-CO"/>
        </w:rPr>
      </w:pPr>
      <w:r w:rsidRPr="00DD6A51">
        <w:rPr>
          <w:b/>
          <w:lang w:val="es-CO"/>
        </w:rPr>
        <w:t xml:space="preserve">situación de las tierras con bosques naturales en </w:t>
      </w:r>
      <w:r>
        <w:rPr>
          <w:b/>
          <w:lang w:val="es-CO"/>
        </w:rPr>
        <w:t>C</w:t>
      </w:r>
      <w:r w:rsidRPr="00DD6A51">
        <w:rPr>
          <w:b/>
          <w:lang w:val="es-CO"/>
        </w:rPr>
        <w:t>olombia</w:t>
      </w:r>
    </w:p>
    <w:p w:rsidR="00CF193D" w:rsidRDefault="00CF193D" w:rsidP="00DD6A51">
      <w:pPr>
        <w:rPr>
          <w:szCs w:val="22"/>
          <w:lang w:val="es-ES_tradnl"/>
        </w:rPr>
      </w:pPr>
      <w:r w:rsidRPr="00CF193D">
        <w:rPr>
          <w:szCs w:val="22"/>
          <w:lang w:val="es-ES_tradnl"/>
        </w:rPr>
        <w:t xml:space="preserve">La situación de </w:t>
      </w:r>
      <w:r w:rsidR="006660F5">
        <w:rPr>
          <w:szCs w:val="22"/>
          <w:lang w:val="es-ES_tradnl"/>
        </w:rPr>
        <w:t xml:space="preserve">las tierras con bosques naturales, de acuerdo con </w:t>
      </w:r>
      <w:r w:rsidRPr="00CF193D">
        <w:rPr>
          <w:szCs w:val="22"/>
          <w:lang w:val="es-ES_tradnl"/>
        </w:rPr>
        <w:t xml:space="preserve">la tenencia y </w:t>
      </w:r>
      <w:r w:rsidR="006660F5">
        <w:rPr>
          <w:szCs w:val="22"/>
          <w:lang w:val="es-ES_tradnl"/>
        </w:rPr>
        <w:t xml:space="preserve">las </w:t>
      </w:r>
      <w:r w:rsidRPr="00CF193D">
        <w:rPr>
          <w:szCs w:val="22"/>
          <w:lang w:val="es-ES_tradnl"/>
        </w:rPr>
        <w:t xml:space="preserve">figuras de manejo especial del bosque en Colombia se resume </w:t>
      </w:r>
      <w:r w:rsidR="00960D30">
        <w:rPr>
          <w:szCs w:val="22"/>
          <w:lang w:val="es-ES_tradnl"/>
        </w:rPr>
        <w:t>de</w:t>
      </w:r>
      <w:r w:rsidRPr="00CF193D">
        <w:rPr>
          <w:szCs w:val="22"/>
          <w:lang w:val="es-ES_tradnl"/>
        </w:rPr>
        <w:t xml:space="preserve"> la siguiente </w:t>
      </w:r>
      <w:r w:rsidR="00960D30">
        <w:rPr>
          <w:szCs w:val="22"/>
          <w:lang w:val="es-ES_tradnl"/>
        </w:rPr>
        <w:t>manera</w:t>
      </w:r>
      <w:r w:rsidR="00960D30">
        <w:rPr>
          <w:rStyle w:val="Refdenotaalpie"/>
          <w:szCs w:val="22"/>
          <w:lang w:val="es-ES_tradnl"/>
        </w:rPr>
        <w:footnoteReference w:id="19"/>
      </w:r>
      <w:r w:rsidR="00960D30">
        <w:rPr>
          <w:szCs w:val="22"/>
          <w:lang w:val="es-ES_tradnl"/>
        </w:rPr>
        <w:t>:</w:t>
      </w:r>
    </w:p>
    <w:p w:rsidR="00960D30" w:rsidRPr="00DD6A51" w:rsidRDefault="00960D30" w:rsidP="00446ECB">
      <w:pPr>
        <w:pStyle w:val="Prrafodelista"/>
        <w:numPr>
          <w:ilvl w:val="0"/>
          <w:numId w:val="31"/>
        </w:numPr>
        <w:rPr>
          <w:rFonts w:cs="Arial"/>
          <w:lang w:val="es-ES_tradnl"/>
        </w:rPr>
      </w:pPr>
      <w:r w:rsidRPr="00DD6A51">
        <w:rPr>
          <w:rFonts w:cs="Arial"/>
          <w:lang w:val="es-ES_tradnl"/>
        </w:rPr>
        <w:t>Total área de Bosques Naturales: 59.311.350 hectáreas</w:t>
      </w:r>
    </w:p>
    <w:p w:rsidR="00960D30" w:rsidRPr="00DD6A51" w:rsidRDefault="00960D30" w:rsidP="00446ECB">
      <w:pPr>
        <w:pStyle w:val="Prrafodelista"/>
        <w:numPr>
          <w:ilvl w:val="0"/>
          <w:numId w:val="31"/>
        </w:numPr>
        <w:rPr>
          <w:rFonts w:cs="Arial"/>
          <w:lang w:val="es-ES_tradnl"/>
        </w:rPr>
      </w:pPr>
      <w:r w:rsidRPr="00DD6A51">
        <w:rPr>
          <w:rFonts w:cs="Arial"/>
          <w:lang w:val="es-ES_tradnl"/>
        </w:rPr>
        <w:t>Bosques en Territorios Indígenas: 43,15% del total</w:t>
      </w:r>
    </w:p>
    <w:p w:rsidR="00960D30" w:rsidRPr="00DD6A51" w:rsidRDefault="00960D30" w:rsidP="00446ECB">
      <w:pPr>
        <w:pStyle w:val="Prrafodelista"/>
        <w:numPr>
          <w:ilvl w:val="0"/>
          <w:numId w:val="31"/>
        </w:numPr>
        <w:rPr>
          <w:rFonts w:cs="Arial"/>
          <w:lang w:val="es-ES_tradnl"/>
        </w:rPr>
      </w:pPr>
      <w:r w:rsidRPr="00DD6A51">
        <w:rPr>
          <w:rFonts w:cs="Arial"/>
          <w:lang w:val="es-ES_tradnl"/>
        </w:rPr>
        <w:t>Bosques en Territorios de Afrodescendientes:5,50% del total</w:t>
      </w:r>
    </w:p>
    <w:p w:rsidR="00960D30" w:rsidRPr="00DD6A51" w:rsidRDefault="00960D30" w:rsidP="00446ECB">
      <w:pPr>
        <w:pStyle w:val="Prrafodelista"/>
        <w:numPr>
          <w:ilvl w:val="0"/>
          <w:numId w:val="31"/>
        </w:numPr>
        <w:rPr>
          <w:rFonts w:cs="Arial"/>
          <w:lang w:val="es-ES_tradnl"/>
        </w:rPr>
      </w:pPr>
      <w:r w:rsidRPr="00DD6A51">
        <w:rPr>
          <w:rFonts w:cs="Arial"/>
          <w:lang w:val="es-ES_tradnl"/>
        </w:rPr>
        <w:t>Bosques en Zonas de Reserva Campesina: 2,27 del total</w:t>
      </w:r>
    </w:p>
    <w:p w:rsidR="00960D30" w:rsidRPr="00DD6A51" w:rsidRDefault="00960D30" w:rsidP="00446ECB">
      <w:pPr>
        <w:pStyle w:val="Prrafodelista"/>
        <w:numPr>
          <w:ilvl w:val="0"/>
          <w:numId w:val="31"/>
        </w:numPr>
        <w:rPr>
          <w:rFonts w:cs="Arial"/>
          <w:lang w:val="es-ES_tradnl"/>
        </w:rPr>
      </w:pPr>
      <w:r w:rsidRPr="00DD6A51">
        <w:rPr>
          <w:rFonts w:cs="Arial"/>
          <w:lang w:val="es-ES_tradnl"/>
        </w:rPr>
        <w:t>Bosques en áreas protegidas (SINAP): 15,58% del total</w:t>
      </w:r>
    </w:p>
    <w:p w:rsidR="00960D30" w:rsidRPr="00DD6A51" w:rsidRDefault="00960D30" w:rsidP="00446ECB">
      <w:pPr>
        <w:pStyle w:val="Prrafodelista"/>
        <w:numPr>
          <w:ilvl w:val="0"/>
          <w:numId w:val="31"/>
        </w:numPr>
        <w:rPr>
          <w:rFonts w:cs="Arial"/>
          <w:b/>
        </w:rPr>
      </w:pPr>
      <w:r w:rsidRPr="00DD6A51">
        <w:rPr>
          <w:rFonts w:cs="Arial"/>
          <w:lang w:val="es-ES_tradnl"/>
        </w:rPr>
        <w:t>Bosques en Baldíos y otros: 33,49% del total</w:t>
      </w:r>
    </w:p>
    <w:p w:rsidR="006D1EF9" w:rsidRPr="00644474" w:rsidRDefault="0024132B" w:rsidP="00DD6A51">
      <w:pPr>
        <w:pStyle w:val="Ttulo1"/>
      </w:pPr>
      <w:bookmarkStart w:id="18" w:name="_Toc23137163"/>
      <w:r>
        <w:lastRenderedPageBreak/>
        <w:t>5</w:t>
      </w:r>
      <w:r w:rsidR="006D1EF9" w:rsidRPr="00644474">
        <w:t>. PRINCIPIOS DE LA ORDENACIÓN FORESTAL INTEGRAL Y SOSTENIBLE</w:t>
      </w:r>
      <w:bookmarkEnd w:id="18"/>
    </w:p>
    <w:p w:rsidR="006D1EF9" w:rsidRPr="00644474" w:rsidRDefault="006D1EF9" w:rsidP="00DD6A51">
      <w:r w:rsidRPr="00644474">
        <w:t xml:space="preserve">Esta ordenación forestal </w:t>
      </w:r>
      <w:r w:rsidR="005B09A9">
        <w:t>integral y</w:t>
      </w:r>
      <w:r w:rsidR="007B1CC8">
        <w:t xml:space="preserve"> </w:t>
      </w:r>
      <w:r w:rsidR="005B09A9">
        <w:t xml:space="preserve">sostenible </w:t>
      </w:r>
      <w:r w:rsidRPr="00644474">
        <w:t xml:space="preserve">se sustenta </w:t>
      </w:r>
      <w:r w:rsidR="005B09A9">
        <w:t xml:space="preserve">en </w:t>
      </w:r>
      <w:r w:rsidRPr="00644474">
        <w:t>los siguientes principios:</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A</w:t>
      </w:r>
      <w:r w:rsidR="006D1EF9" w:rsidRPr="00DD6A51">
        <w:rPr>
          <w:rStyle w:val="nfasis"/>
          <w:i w:val="0"/>
          <w:szCs w:val="22"/>
        </w:rPr>
        <w:t>barca las tierras de vocación forestal, con o sin cobertura natural.</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E</w:t>
      </w:r>
      <w:r w:rsidR="006D1EF9" w:rsidRPr="00DD6A51">
        <w:rPr>
          <w:rStyle w:val="nfasis"/>
          <w:i w:val="0"/>
          <w:szCs w:val="22"/>
        </w:rPr>
        <w:t xml:space="preserve">s multifacética pues desarrolla lineamientos y objetivos de producción, de protección, conservación, preservación en las áreas forestales. </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C</w:t>
      </w:r>
      <w:r w:rsidR="006D1EF9" w:rsidRPr="00DD6A51">
        <w:rPr>
          <w:rStyle w:val="nfasis"/>
          <w:i w:val="0"/>
          <w:szCs w:val="22"/>
        </w:rPr>
        <w:t>onsidera la estrategia y los principios del enfoque ecosistémico para la gestión forestal.</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S</w:t>
      </w:r>
      <w:r w:rsidR="006D1EF9" w:rsidRPr="00DD6A51">
        <w:rPr>
          <w:rStyle w:val="nfasis"/>
          <w:i w:val="0"/>
          <w:szCs w:val="22"/>
        </w:rPr>
        <w:t xml:space="preserve">e armoniza con todos los instrumentos de planificación del territorio </w:t>
      </w:r>
      <w:r w:rsidR="000A5457" w:rsidRPr="00DD6A51">
        <w:rPr>
          <w:rStyle w:val="nfasis"/>
          <w:i w:val="0"/>
          <w:szCs w:val="22"/>
        </w:rPr>
        <w:t>y de otros recursos naturales, tales como los EOT, POT y</w:t>
      </w:r>
      <w:r w:rsidR="006D1EF9" w:rsidRPr="00DD6A51">
        <w:rPr>
          <w:rStyle w:val="nfasis"/>
          <w:i w:val="0"/>
          <w:szCs w:val="22"/>
        </w:rPr>
        <w:t xml:space="preserve"> POMCAS, entre otros.</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D</w:t>
      </w:r>
      <w:r w:rsidR="006D1EF9" w:rsidRPr="00DD6A51">
        <w:rPr>
          <w:rStyle w:val="nfasis"/>
          <w:i w:val="0"/>
          <w:szCs w:val="22"/>
        </w:rPr>
        <w:t>ebe contribuir a solucionar los problemas de seguridad alimentaria y de pobreza existentes entre las comunidades rurales.</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 xml:space="preserve">Su formulación e impementación </w:t>
      </w:r>
      <w:r w:rsidR="006D1EF9" w:rsidRPr="00DD6A51">
        <w:rPr>
          <w:rStyle w:val="nfasis"/>
          <w:i w:val="0"/>
          <w:szCs w:val="22"/>
        </w:rPr>
        <w:t>privilegia el enfoque de los sistemas de producción basados en los recursos forestales, en el contexto de la economía campesina y la economía de acumulación del capital.</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Uno de sus fines</w:t>
      </w:r>
      <w:r w:rsidR="006D1EF9" w:rsidRPr="00DD6A51">
        <w:rPr>
          <w:rStyle w:val="nfasis"/>
          <w:i w:val="0"/>
          <w:szCs w:val="22"/>
        </w:rPr>
        <w:t xml:space="preserve"> es alcanzar la conservación, el manejo y el uso integral y sostenible de los ecosistemas forestales mediante </w:t>
      </w:r>
      <w:r w:rsidR="00143759" w:rsidRPr="00DD6A51">
        <w:rPr>
          <w:rStyle w:val="nfasis"/>
          <w:i w:val="0"/>
          <w:szCs w:val="22"/>
        </w:rPr>
        <w:t>su</w:t>
      </w:r>
      <w:r w:rsidR="006D1EF9" w:rsidRPr="00DD6A51">
        <w:rPr>
          <w:rStyle w:val="nfasis"/>
          <w:i w:val="0"/>
          <w:szCs w:val="22"/>
        </w:rPr>
        <w:t xml:space="preserve"> planificación estratégica</w:t>
      </w:r>
      <w:r w:rsidR="00143759" w:rsidRPr="00DD6A51">
        <w:rPr>
          <w:rStyle w:val="nfasis"/>
          <w:i w:val="0"/>
          <w:szCs w:val="22"/>
        </w:rPr>
        <w:t>.</w:t>
      </w:r>
      <w:r w:rsidR="006D1EF9" w:rsidRPr="00DD6A51">
        <w:rPr>
          <w:rStyle w:val="nfasis"/>
          <w:i w:val="0"/>
          <w:szCs w:val="22"/>
        </w:rPr>
        <w:t xml:space="preserve"> </w:t>
      </w:r>
    </w:p>
    <w:p w:rsidR="006D1EF9" w:rsidRPr="00DD6A51" w:rsidRDefault="005B09A9" w:rsidP="00446ECB">
      <w:pPr>
        <w:pStyle w:val="Prrafodelista"/>
        <w:numPr>
          <w:ilvl w:val="0"/>
          <w:numId w:val="32"/>
        </w:numPr>
        <w:rPr>
          <w:rStyle w:val="nfasis"/>
          <w:i w:val="0"/>
          <w:szCs w:val="22"/>
        </w:rPr>
      </w:pPr>
      <w:r w:rsidRPr="00DD6A51">
        <w:rPr>
          <w:rStyle w:val="nfasis"/>
          <w:i w:val="0"/>
          <w:szCs w:val="22"/>
        </w:rPr>
        <w:t>C</w:t>
      </w:r>
      <w:r w:rsidR="006D1EF9" w:rsidRPr="00DD6A51">
        <w:rPr>
          <w:rStyle w:val="nfasis"/>
          <w:i w:val="0"/>
          <w:szCs w:val="22"/>
        </w:rPr>
        <w:t>onsidera y respeta los derechos, los conocimientos y las tradiciones de los pueblos y comunidades rurales.</w:t>
      </w:r>
    </w:p>
    <w:p w:rsidR="006D1EF9" w:rsidRPr="00DD6A51" w:rsidRDefault="005B09A9" w:rsidP="00446ECB">
      <w:pPr>
        <w:pStyle w:val="Prrafodelista"/>
        <w:numPr>
          <w:ilvl w:val="0"/>
          <w:numId w:val="32"/>
        </w:numPr>
        <w:rPr>
          <w14:shadow w14:blurRad="50800" w14:dist="38100" w14:dir="2700000" w14:sx="100000" w14:sy="100000" w14:kx="0" w14:ky="0" w14:algn="tl">
            <w14:srgbClr w14:val="000000">
              <w14:alpha w14:val="60000"/>
            </w14:srgbClr>
          </w14:shadow>
        </w:rPr>
      </w:pPr>
      <w:r w:rsidRPr="00DD6A51">
        <w:rPr>
          <w:rStyle w:val="nfasis"/>
          <w:i w:val="0"/>
          <w:szCs w:val="22"/>
        </w:rPr>
        <w:t>R</w:t>
      </w:r>
      <w:r w:rsidR="006D1EF9" w:rsidRPr="00DD6A51">
        <w:rPr>
          <w:rStyle w:val="nfasis"/>
          <w:i w:val="0"/>
          <w:szCs w:val="22"/>
        </w:rPr>
        <w:t>espeta todos los tipos de propiedad de la tierra, bien sea</w:t>
      </w:r>
      <w:r w:rsidR="007B1CC8" w:rsidRPr="00DD6A51">
        <w:rPr>
          <w:rStyle w:val="nfasis"/>
          <w:i w:val="0"/>
          <w:szCs w:val="22"/>
        </w:rPr>
        <w:t xml:space="preserve"> </w:t>
      </w:r>
      <w:r w:rsidR="006D1EF9" w:rsidRPr="00DD6A51">
        <w:rPr>
          <w:rStyle w:val="nfasis"/>
          <w:i w:val="0"/>
          <w:szCs w:val="22"/>
        </w:rPr>
        <w:t>pública o privada, individual o colectiva.</w:t>
      </w:r>
      <w:r w:rsidR="006D1EF9" w:rsidRPr="00DD6A51">
        <w:rPr>
          <w14:shadow w14:blurRad="50800" w14:dist="38100" w14:dir="2700000" w14:sx="100000" w14:sy="100000" w14:kx="0" w14:ky="0" w14:algn="tl">
            <w14:srgbClr w14:val="000000">
              <w14:alpha w14:val="60000"/>
            </w14:srgbClr>
          </w14:shadow>
        </w:rPr>
        <w:t xml:space="preserve"> </w:t>
      </w:r>
    </w:p>
    <w:p w:rsidR="006D1EF9" w:rsidRPr="00232009" w:rsidRDefault="0024132B" w:rsidP="005E75AC">
      <w:pPr>
        <w:pStyle w:val="Ttulo1"/>
      </w:pPr>
      <w:bookmarkStart w:id="19" w:name="_Toc23137164"/>
      <w:r>
        <w:t>6</w:t>
      </w:r>
      <w:r w:rsidR="006D1EF9" w:rsidRPr="00232009">
        <w:t>.</w:t>
      </w:r>
      <w:r w:rsidR="007B1CC8">
        <w:t xml:space="preserve"> </w:t>
      </w:r>
      <w:r w:rsidR="006D1EF9" w:rsidRPr="00232009">
        <w:t>CONTEXTO PARTICULAR PARA DESARROLLAR LA ORDENACIÓN FORESTAL EN COLOMBIA</w:t>
      </w:r>
      <w:bookmarkEnd w:id="19"/>
    </w:p>
    <w:p w:rsidR="006D1EF9" w:rsidRDefault="006D1EF9" w:rsidP="005E75AC">
      <w:r w:rsidRPr="00002875">
        <w:t>Colombia</w:t>
      </w:r>
      <w:r>
        <w:t xml:space="preserve"> presenta algunas particularidades que le imprimen una diferenciación con respecto a los procesos de ordenación forestal convencionales, e incluso con respecto a la ordenación forestal que se adelanta en otros países; por lo cual las metodologías, las operaciones, los principios, los fundamentos técnico-científicos y los regímenes de ordenación forestal a formular e implementar no pueden ser aplicados como recetas trasladadas desde otros marcos geográficos de gestión. </w:t>
      </w:r>
    </w:p>
    <w:p w:rsidR="006D1EF9" w:rsidRDefault="006D1EF9" w:rsidP="005E75AC">
      <w:r>
        <w:t>De esta manera, se resaltan las siguientes particularidades para el caso colombiano, las cuales necesariamente deben ser consideradas e incluidas en el desarrollo de la ordenación forestal integral y sostenible:</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t>En Colombia se ha identificado una marcada correlación entre los c</w:t>
      </w:r>
      <w:r w:rsidRPr="005E75AC">
        <w:rPr>
          <w:rStyle w:val="nfasis"/>
          <w:rFonts w:eastAsia="+mn-ea"/>
          <w:i w:val="0"/>
          <w:szCs w:val="22"/>
          <w:lang w:val="es-ES_tradnl" w:eastAsia="es-CO"/>
        </w:rPr>
        <w:t>ultivos ilícitos</w:t>
      </w:r>
      <w:r w:rsidR="007B1CC8" w:rsidRPr="005E75AC">
        <w:rPr>
          <w:rStyle w:val="nfasis"/>
          <w:rFonts w:eastAsia="+mn-ea"/>
          <w:i w:val="0"/>
          <w:szCs w:val="22"/>
          <w:lang w:val="es-ES_tradnl" w:eastAsia="es-CO"/>
        </w:rPr>
        <w:t xml:space="preserve"> </w:t>
      </w:r>
      <w:r w:rsidRPr="005E75AC">
        <w:rPr>
          <w:rStyle w:val="nfasis"/>
          <w:rFonts w:eastAsia="+mn-ea"/>
          <w:i w:val="0"/>
          <w:szCs w:val="22"/>
          <w:lang w:val="es-ES_tradnl" w:eastAsia="es-CO"/>
        </w:rPr>
        <w:t xml:space="preserve">y la deforestación, </w:t>
      </w:r>
      <w:r w:rsidRPr="005E75AC">
        <w:rPr>
          <w:rStyle w:val="nfasis"/>
          <w:rFonts w:eastAsia="+mn-ea"/>
          <w:i w:val="0"/>
          <w:szCs w:val="22"/>
        </w:rPr>
        <w:t xml:space="preserve">incluyendo una </w:t>
      </w:r>
      <w:r w:rsidRPr="005E75AC">
        <w:rPr>
          <w:rStyle w:val="nfasis"/>
          <w:rFonts w:eastAsia="+mn-ea"/>
          <w:i w:val="0"/>
          <w:szCs w:val="22"/>
          <w:lang w:val="es-ES_tradnl" w:eastAsia="es-CO"/>
        </w:rPr>
        <w:t>subcultura de la ilegalidad.</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t>El territorio nacional</w:t>
      </w:r>
      <w:r w:rsidR="007B1CC8" w:rsidRPr="005E75AC">
        <w:rPr>
          <w:rStyle w:val="nfasis"/>
          <w:rFonts w:eastAsia="+mn-ea"/>
          <w:i w:val="0"/>
          <w:szCs w:val="22"/>
        </w:rPr>
        <w:t xml:space="preserve"> </w:t>
      </w:r>
      <w:r w:rsidRPr="005E75AC">
        <w:rPr>
          <w:rStyle w:val="nfasis"/>
          <w:rFonts w:eastAsia="+mn-ea"/>
          <w:i w:val="0"/>
          <w:szCs w:val="22"/>
        </w:rPr>
        <w:t>presenta una d</w:t>
      </w:r>
      <w:r w:rsidRPr="005E75AC">
        <w:rPr>
          <w:rStyle w:val="nfasis"/>
          <w:rFonts w:eastAsia="+mn-ea"/>
          <w:i w:val="0"/>
          <w:szCs w:val="22"/>
          <w:lang w:val="es-ES_tradnl" w:eastAsia="es-CO"/>
        </w:rPr>
        <w:t>inámica del conflicto armado y desplazamiento</w:t>
      </w:r>
      <w:r w:rsidRPr="005E75AC">
        <w:rPr>
          <w:rStyle w:val="nfasis"/>
          <w:rFonts w:eastAsia="+mn-ea"/>
          <w:i w:val="0"/>
          <w:szCs w:val="22"/>
        </w:rPr>
        <w:t>, con incidencia</w:t>
      </w:r>
      <w:r w:rsidR="007B1CC8" w:rsidRPr="005E75AC">
        <w:rPr>
          <w:rStyle w:val="nfasis"/>
          <w:rFonts w:eastAsia="+mn-ea"/>
          <w:i w:val="0"/>
          <w:szCs w:val="22"/>
        </w:rPr>
        <w:t xml:space="preserve"> </w:t>
      </w:r>
      <w:r w:rsidRPr="005E75AC">
        <w:rPr>
          <w:rStyle w:val="nfasis"/>
          <w:rFonts w:eastAsia="+mn-ea"/>
          <w:i w:val="0"/>
          <w:szCs w:val="22"/>
        </w:rPr>
        <w:t>en muchas zonas forestales.</w:t>
      </w:r>
    </w:p>
    <w:p w:rsidR="006D1EF9" w:rsidRPr="005E75AC" w:rsidRDefault="006D1EF9" w:rsidP="00446ECB">
      <w:pPr>
        <w:pStyle w:val="Prrafodelista"/>
        <w:numPr>
          <w:ilvl w:val="0"/>
          <w:numId w:val="33"/>
        </w:numPr>
        <w:rPr>
          <w:rStyle w:val="nfasis"/>
          <w:rFonts w:eastAsia="+mn-ea"/>
          <w:i w:val="0"/>
          <w:szCs w:val="22"/>
          <w:lang w:val="es-CO"/>
        </w:rPr>
      </w:pPr>
      <w:r w:rsidRPr="005E75AC">
        <w:rPr>
          <w:rStyle w:val="nfasis"/>
          <w:rFonts w:eastAsia="+mn-ea"/>
          <w:i w:val="0"/>
          <w:szCs w:val="22"/>
        </w:rPr>
        <w:t xml:space="preserve">En el país predomina un modelo económico desarrollista y la preponderancia de la </w:t>
      </w:r>
      <w:r w:rsidRPr="005E75AC">
        <w:rPr>
          <w:rStyle w:val="nfasis"/>
          <w:rFonts w:eastAsia="+mn-ea"/>
          <w:i w:val="0"/>
          <w:szCs w:val="22"/>
          <w:lang w:val="es-ES_tradnl" w:eastAsia="es-CO"/>
        </w:rPr>
        <w:t>globalización</w:t>
      </w:r>
      <w:r w:rsidRPr="005E75AC">
        <w:rPr>
          <w:rStyle w:val="nfasis"/>
          <w:rFonts w:eastAsia="+mn-ea"/>
          <w:i w:val="0"/>
          <w:szCs w:val="22"/>
        </w:rPr>
        <w:t xml:space="preserve"> económica y cultural.</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t>Por lo general se ha privilegiado la p</w:t>
      </w:r>
      <w:r w:rsidRPr="005E75AC">
        <w:rPr>
          <w:rStyle w:val="nfasis"/>
          <w:rFonts w:eastAsia="+mn-ea"/>
          <w:i w:val="0"/>
          <w:szCs w:val="22"/>
          <w:lang w:val="es-ES_tradnl" w:eastAsia="es-CO"/>
        </w:rPr>
        <w:t>lanificación tecnicista y centralizada del desarrollo rural</w:t>
      </w:r>
      <w:r w:rsidRPr="005E75AC">
        <w:rPr>
          <w:rStyle w:val="nfasis"/>
          <w:rFonts w:eastAsia="+mn-ea"/>
          <w:i w:val="0"/>
          <w:szCs w:val="22"/>
        </w:rPr>
        <w:t>, desde las instituciones y los diferentes actores estatales y profesionales.</w:t>
      </w:r>
    </w:p>
    <w:p w:rsidR="006D1EF9" w:rsidRPr="005E75AC" w:rsidRDefault="00533AF3" w:rsidP="00446ECB">
      <w:pPr>
        <w:pStyle w:val="Prrafodelista"/>
        <w:numPr>
          <w:ilvl w:val="0"/>
          <w:numId w:val="33"/>
        </w:numPr>
        <w:rPr>
          <w:rStyle w:val="nfasis"/>
          <w:i w:val="0"/>
          <w:szCs w:val="22"/>
          <w:lang w:val="es-CO" w:eastAsia="es-CO"/>
        </w:rPr>
      </w:pPr>
      <w:r w:rsidRPr="005E75AC">
        <w:rPr>
          <w:rStyle w:val="nfasis"/>
          <w:rFonts w:eastAsia="+mn-ea"/>
          <w:i w:val="0"/>
          <w:szCs w:val="22"/>
          <w:lang w:val="es-CO"/>
        </w:rPr>
        <w:t>C</w:t>
      </w:r>
      <w:r w:rsidRPr="005E75AC">
        <w:rPr>
          <w:rStyle w:val="nfasis"/>
          <w:rFonts w:eastAsia="+mn-ea"/>
          <w:i w:val="0"/>
          <w:szCs w:val="22"/>
        </w:rPr>
        <w:t>olombia posee un</w:t>
      </w:r>
      <w:r w:rsidR="006D1EF9" w:rsidRPr="005E75AC">
        <w:rPr>
          <w:rStyle w:val="nfasis"/>
          <w:rFonts w:eastAsia="+mn-ea"/>
          <w:i w:val="0"/>
          <w:szCs w:val="22"/>
        </w:rPr>
        <w:t xml:space="preserve"> conjunto de normas, políticas y compromisos internacionales que privilegian</w:t>
      </w:r>
      <w:r w:rsidR="007B1CC8" w:rsidRPr="005E75AC">
        <w:rPr>
          <w:rStyle w:val="nfasis"/>
          <w:rFonts w:eastAsia="+mn-ea"/>
          <w:i w:val="0"/>
          <w:szCs w:val="22"/>
        </w:rPr>
        <w:t xml:space="preserve"> </w:t>
      </w:r>
      <w:r w:rsidR="006D1EF9" w:rsidRPr="005E75AC">
        <w:rPr>
          <w:rStyle w:val="nfasis"/>
          <w:rFonts w:eastAsia="+mn-ea"/>
          <w:i w:val="0"/>
          <w:szCs w:val="22"/>
        </w:rPr>
        <w:t>la p</w:t>
      </w:r>
      <w:r w:rsidR="006D1EF9" w:rsidRPr="005E75AC">
        <w:rPr>
          <w:rStyle w:val="nfasis"/>
          <w:rFonts w:eastAsia="+mn-ea"/>
          <w:i w:val="0"/>
          <w:szCs w:val="22"/>
          <w:lang w:val="es-ES_tradnl" w:eastAsia="es-CO"/>
        </w:rPr>
        <w:t>ropiedad colectiva de la tierra (comunidades negras e indígenas)</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t>Las áreas rurales se caracterizan por un predominio de la p</w:t>
      </w:r>
      <w:r w:rsidRPr="005E75AC">
        <w:rPr>
          <w:rStyle w:val="nfasis"/>
          <w:rFonts w:eastAsia="+mn-ea"/>
          <w:i w:val="0"/>
          <w:szCs w:val="22"/>
          <w:lang w:val="es-ES_tradnl" w:eastAsia="es-CO"/>
        </w:rPr>
        <w:t>obreza y la desnutrición entre las poblaciones rurales asentadas en zonas forestales</w:t>
      </w:r>
      <w:r w:rsidRPr="005E75AC">
        <w:rPr>
          <w:rStyle w:val="nfasis"/>
          <w:rFonts w:eastAsia="+mn-ea"/>
          <w:i w:val="0"/>
          <w:szCs w:val="22"/>
        </w:rPr>
        <w:t>, en contraste con la riqueza de recursos naturales que generalmente allí existen.</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t>Colombia es una nación con d</w:t>
      </w:r>
      <w:r w:rsidRPr="005E75AC">
        <w:rPr>
          <w:rStyle w:val="nfasis"/>
          <w:rFonts w:eastAsia="+mn-ea"/>
          <w:i w:val="0"/>
          <w:szCs w:val="22"/>
          <w:lang w:val="es-ES_tradnl" w:eastAsia="es-CO"/>
        </w:rPr>
        <w:t xml:space="preserve">iversidad étnica y cultural, la cual </w:t>
      </w:r>
      <w:r w:rsidRPr="005E75AC">
        <w:rPr>
          <w:rStyle w:val="nfasis"/>
          <w:rFonts w:eastAsia="+mn-ea"/>
          <w:i w:val="0"/>
          <w:szCs w:val="22"/>
        </w:rPr>
        <w:t>se halla protegida por un marco de normas y políticas.</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lang w:val="es-CO"/>
        </w:rPr>
        <w:t xml:space="preserve">Existe una tradición </w:t>
      </w:r>
      <w:r w:rsidRPr="005E75AC">
        <w:rPr>
          <w:rStyle w:val="nfasis"/>
          <w:rFonts w:eastAsia="+mn-ea"/>
          <w:i w:val="0"/>
          <w:szCs w:val="22"/>
        </w:rPr>
        <w:t>de tendencia a la p</w:t>
      </w:r>
      <w:r w:rsidRPr="005E75AC">
        <w:rPr>
          <w:rStyle w:val="nfasis"/>
          <w:rFonts w:eastAsia="+mn-ea"/>
          <w:i w:val="0"/>
          <w:szCs w:val="22"/>
          <w:lang w:eastAsia="es-CO"/>
        </w:rPr>
        <w:t xml:space="preserve">roducción forestal extractivista y </w:t>
      </w:r>
      <w:r w:rsidRPr="005E75AC">
        <w:rPr>
          <w:rStyle w:val="nfasis"/>
          <w:rFonts w:eastAsia="+mn-ea"/>
          <w:i w:val="0"/>
          <w:szCs w:val="22"/>
        </w:rPr>
        <w:t xml:space="preserve">al </w:t>
      </w:r>
      <w:r w:rsidRPr="005E75AC">
        <w:rPr>
          <w:rStyle w:val="nfasis"/>
          <w:rFonts w:eastAsia="+mn-ea"/>
          <w:i w:val="0"/>
          <w:szCs w:val="22"/>
          <w:lang w:eastAsia="es-CO"/>
        </w:rPr>
        <w:t>aprovechamiento ilegal</w:t>
      </w:r>
      <w:r w:rsidRPr="005E75AC">
        <w:rPr>
          <w:rStyle w:val="nfasis"/>
          <w:rFonts w:eastAsia="+mn-ea"/>
          <w:i w:val="0"/>
          <w:szCs w:val="22"/>
        </w:rPr>
        <w:t xml:space="preserve"> en las áreas forestales.</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t>Hay un bajo conocimiento</w:t>
      </w:r>
      <w:r w:rsidR="007B1CC8" w:rsidRPr="005E75AC">
        <w:rPr>
          <w:rStyle w:val="nfasis"/>
          <w:rFonts w:eastAsia="+mn-ea"/>
          <w:i w:val="0"/>
          <w:szCs w:val="22"/>
        </w:rPr>
        <w:t xml:space="preserve"> </w:t>
      </w:r>
      <w:r w:rsidRPr="005E75AC">
        <w:rPr>
          <w:rStyle w:val="nfasis"/>
          <w:rFonts w:eastAsia="+mn-ea"/>
          <w:i w:val="0"/>
          <w:szCs w:val="22"/>
        </w:rPr>
        <w:t>y desarrollo del p</w:t>
      </w:r>
      <w:r w:rsidRPr="005E75AC">
        <w:rPr>
          <w:rStyle w:val="nfasis"/>
          <w:rFonts w:eastAsia="+mn-ea"/>
          <w:i w:val="0"/>
          <w:szCs w:val="22"/>
          <w:lang w:eastAsia="es-CO"/>
        </w:rPr>
        <w:t>otencial socioeconómico de la diversidad biológica</w:t>
      </w:r>
      <w:r w:rsidRPr="005E75AC">
        <w:rPr>
          <w:rStyle w:val="nfasis"/>
          <w:rFonts w:eastAsia="+mn-ea"/>
          <w:i w:val="0"/>
          <w:szCs w:val="22"/>
        </w:rPr>
        <w:t>.</w:t>
      </w: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lang w:eastAsia="es-CO"/>
        </w:rPr>
        <w:t>Colombia posee un Plan Nacional de Desarrollo Forestal</w:t>
      </w:r>
      <w:r w:rsidRPr="005E75AC">
        <w:rPr>
          <w:rStyle w:val="nfasis"/>
          <w:rFonts w:eastAsia="+mn-ea"/>
          <w:i w:val="0"/>
          <w:szCs w:val="22"/>
        </w:rPr>
        <w:t xml:space="preserve"> que enmarca política y legalmente el desarrollo de</w:t>
      </w:r>
      <w:r w:rsidR="007B1CC8" w:rsidRPr="005E75AC">
        <w:rPr>
          <w:rStyle w:val="nfasis"/>
          <w:rFonts w:eastAsia="+mn-ea"/>
          <w:i w:val="0"/>
          <w:szCs w:val="22"/>
        </w:rPr>
        <w:t xml:space="preserve"> </w:t>
      </w:r>
      <w:r w:rsidR="00C27F74" w:rsidRPr="005E75AC">
        <w:rPr>
          <w:rStyle w:val="nfasis"/>
          <w:rFonts w:eastAsia="+mn-ea"/>
          <w:i w:val="0"/>
          <w:szCs w:val="22"/>
        </w:rPr>
        <w:t xml:space="preserve"> </w:t>
      </w:r>
      <w:r w:rsidRPr="005E75AC">
        <w:rPr>
          <w:rStyle w:val="nfasis"/>
          <w:rFonts w:eastAsia="+mn-ea"/>
          <w:i w:val="0"/>
          <w:szCs w:val="22"/>
        </w:rPr>
        <w:t>la ordenación forestal integral y sostenible.</w:t>
      </w:r>
    </w:p>
    <w:p w:rsidR="00294729" w:rsidRPr="00294729" w:rsidRDefault="00294729" w:rsidP="005E75AC">
      <w:pPr>
        <w:rPr>
          <w:rStyle w:val="nfasis"/>
          <w:i w:val="0"/>
          <w:szCs w:val="22"/>
          <w:lang w:val="es-CO" w:eastAsia="es-CO"/>
        </w:rPr>
      </w:pPr>
    </w:p>
    <w:p w:rsidR="006D1EF9" w:rsidRPr="005E75AC" w:rsidRDefault="006D1EF9" w:rsidP="00446ECB">
      <w:pPr>
        <w:pStyle w:val="Prrafodelista"/>
        <w:numPr>
          <w:ilvl w:val="0"/>
          <w:numId w:val="33"/>
        </w:numPr>
        <w:rPr>
          <w:rStyle w:val="nfasis"/>
          <w:i w:val="0"/>
          <w:szCs w:val="22"/>
          <w:lang w:val="es-CO" w:eastAsia="es-CO"/>
        </w:rPr>
      </w:pPr>
      <w:r w:rsidRPr="005E75AC">
        <w:rPr>
          <w:rStyle w:val="nfasis"/>
          <w:rFonts w:eastAsia="+mn-ea"/>
          <w:i w:val="0"/>
          <w:szCs w:val="22"/>
        </w:rPr>
        <w:lastRenderedPageBreak/>
        <w:t xml:space="preserve">Existe una relativa </w:t>
      </w:r>
      <w:r w:rsidR="00A00809" w:rsidRPr="005E75AC">
        <w:rPr>
          <w:rStyle w:val="nfasis"/>
          <w:rFonts w:eastAsia="+mn-ea"/>
          <w:i w:val="0"/>
          <w:szCs w:val="22"/>
        </w:rPr>
        <w:t>escasez</w:t>
      </w:r>
      <w:r w:rsidRPr="005E75AC">
        <w:rPr>
          <w:rStyle w:val="nfasis"/>
          <w:rFonts w:eastAsia="+mn-ea"/>
          <w:i w:val="0"/>
          <w:szCs w:val="22"/>
          <w:lang w:eastAsia="es-CO"/>
        </w:rPr>
        <w:t xml:space="preserve"> de instrumentos financieros y </w:t>
      </w:r>
      <w:r w:rsidRPr="005E75AC">
        <w:rPr>
          <w:rStyle w:val="nfasis"/>
          <w:rFonts w:eastAsia="+mn-ea"/>
          <w:i w:val="0"/>
          <w:szCs w:val="22"/>
        </w:rPr>
        <w:t xml:space="preserve">una </w:t>
      </w:r>
      <w:r w:rsidR="00A00809" w:rsidRPr="005E75AC">
        <w:rPr>
          <w:rStyle w:val="nfasis"/>
          <w:rFonts w:eastAsia="+mn-ea"/>
          <w:i w:val="0"/>
          <w:szCs w:val="22"/>
        </w:rPr>
        <w:t>insuficiente</w:t>
      </w:r>
      <w:r w:rsidRPr="005E75AC">
        <w:rPr>
          <w:rStyle w:val="nfasis"/>
          <w:rFonts w:eastAsia="+mn-ea"/>
          <w:i w:val="0"/>
          <w:szCs w:val="22"/>
        </w:rPr>
        <w:t xml:space="preserve"> </w:t>
      </w:r>
      <w:r w:rsidRPr="005E75AC">
        <w:rPr>
          <w:rStyle w:val="nfasis"/>
          <w:rFonts w:eastAsia="+mn-ea"/>
          <w:i w:val="0"/>
          <w:szCs w:val="22"/>
          <w:lang w:eastAsia="es-CO"/>
        </w:rPr>
        <w:t xml:space="preserve">asistencia técnica </w:t>
      </w:r>
      <w:r w:rsidRPr="005E75AC">
        <w:rPr>
          <w:rStyle w:val="nfasis"/>
          <w:rFonts w:eastAsia="+mn-ea"/>
          <w:i w:val="0"/>
          <w:szCs w:val="22"/>
        </w:rPr>
        <w:t>para la ordenación y el manejo forestal.</w:t>
      </w:r>
    </w:p>
    <w:p w:rsidR="006D1EF9" w:rsidRPr="00F50267" w:rsidRDefault="0024132B" w:rsidP="005E75AC">
      <w:pPr>
        <w:pStyle w:val="Ttulo1"/>
      </w:pPr>
      <w:bookmarkStart w:id="20" w:name="_Toc23137165"/>
      <w:r>
        <w:t>7</w:t>
      </w:r>
      <w:r w:rsidR="006D1EF9" w:rsidRPr="00F50267">
        <w:t>. ASPECTOS COMUNITARIOS PARA LA ORDENACIÓN FORESTAL</w:t>
      </w:r>
      <w:bookmarkEnd w:id="20"/>
    </w:p>
    <w:p w:rsidR="00294729" w:rsidRDefault="0024132B" w:rsidP="005E75AC">
      <w:pPr>
        <w:pStyle w:val="Ttulo2"/>
        <w:rPr>
          <w:lang w:val="es-CO"/>
        </w:rPr>
      </w:pPr>
      <w:bookmarkStart w:id="21" w:name="_Toc23137166"/>
      <w:r>
        <w:rPr>
          <w:lang w:val="es-CO"/>
        </w:rPr>
        <w:t>7</w:t>
      </w:r>
      <w:r w:rsidR="005E75AC">
        <w:rPr>
          <w:lang w:val="es-CO"/>
        </w:rPr>
        <w:t>.1 ELEMENTOS NORMATIVOS</w:t>
      </w:r>
      <w:bookmarkEnd w:id="21"/>
    </w:p>
    <w:p w:rsidR="00F00465" w:rsidRDefault="00F00465" w:rsidP="005E75AC">
      <w:pPr>
        <w:rPr>
          <w:rFonts w:cs="Arial"/>
        </w:rPr>
      </w:pPr>
      <w:r w:rsidRPr="00F00465">
        <w:rPr>
          <w:rFonts w:cs="Arial"/>
        </w:rPr>
        <w:t xml:space="preserve">Las siguientes leyes, relacionadas con las poblaciones rurales, deben </w:t>
      </w:r>
      <w:r>
        <w:rPr>
          <w:rFonts w:cs="Arial"/>
        </w:rPr>
        <w:t xml:space="preserve">ser </w:t>
      </w:r>
      <w:r w:rsidRPr="00F00465">
        <w:rPr>
          <w:rFonts w:cs="Arial"/>
        </w:rPr>
        <w:t>considera</w:t>
      </w:r>
      <w:r>
        <w:rPr>
          <w:rFonts w:cs="Arial"/>
        </w:rPr>
        <w:t>das</w:t>
      </w:r>
      <w:r w:rsidRPr="00F00465">
        <w:rPr>
          <w:rFonts w:cs="Arial"/>
        </w:rPr>
        <w:t xml:space="preserve"> en el proceso de la ordenación forestal integral y sostenible:</w:t>
      </w:r>
    </w:p>
    <w:p w:rsidR="00243140" w:rsidRPr="00F00465" w:rsidRDefault="006D1EF9" w:rsidP="00446ECB">
      <w:pPr>
        <w:pStyle w:val="Prrafodelista"/>
        <w:numPr>
          <w:ilvl w:val="0"/>
          <w:numId w:val="34"/>
        </w:numPr>
      </w:pPr>
      <w:r w:rsidRPr="00F00465">
        <w:t>Ley 21 del 4 de marzo de 1991</w:t>
      </w:r>
      <w:r w:rsidRPr="005E75AC">
        <w:rPr>
          <w:i/>
        </w:rPr>
        <w:t>.”Por medio de la cual se aprueba el Convenio número 169 sobre pueblos indígenas y tribales en países independientes, adoptado por la 76a. reunión de la Conferencia General de la O.I.T., Ginebra 1989</w:t>
      </w:r>
      <w:r w:rsidRPr="00F00465">
        <w:t xml:space="preserve">”. </w:t>
      </w:r>
      <w:r w:rsidR="00F00465" w:rsidRPr="00F00465">
        <w:t>Atendiendo al espíritu de esta ley,</w:t>
      </w:r>
      <w:r w:rsidR="00243140" w:rsidRPr="00F00465">
        <w:t>, la ordenación forestal en territorios de comunidades indígenas deberá ser armonizada y compatibilizada con los Planes de Vida de las mismas</w:t>
      </w:r>
      <w:r w:rsidR="001A1518" w:rsidRPr="00F00465">
        <w:t xml:space="preserve">, cuyos lineamientos se convierten en determinantes para el </w:t>
      </w:r>
      <w:r w:rsidR="00C70930">
        <w:t>PGOF</w:t>
      </w:r>
      <w:r w:rsidR="00243140" w:rsidRPr="00F00465">
        <w:t>. En el caso que las comunidades indígenas no posean Plan de Vida, la ordenación forestal participativa deberá ser una oportunidad y un medio para que se elabore la línea base que apoye la formulación del mismo.</w:t>
      </w:r>
    </w:p>
    <w:p w:rsidR="00243140" w:rsidRPr="00243140" w:rsidRDefault="006D1EF9" w:rsidP="00446ECB">
      <w:pPr>
        <w:pStyle w:val="Prrafodelista"/>
        <w:numPr>
          <w:ilvl w:val="0"/>
          <w:numId w:val="34"/>
        </w:numPr>
      </w:pPr>
      <w:r w:rsidRPr="00243140">
        <w:t xml:space="preserve">Ley 70 del 27 de agosto de 1993. </w:t>
      </w:r>
      <w:r w:rsidRPr="005E75AC">
        <w:rPr>
          <w:i/>
        </w:rPr>
        <w:t>"Por la cual se desarrolla el artículo transitorio 55 de la Constitución Política. Comunidades Afrocolombianas</w:t>
      </w:r>
      <w:r w:rsidRPr="00243140">
        <w:t xml:space="preserve">”. </w:t>
      </w:r>
      <w:r w:rsidR="00F00465">
        <w:t>E</w:t>
      </w:r>
      <w:r w:rsidR="00243140" w:rsidRPr="00243140">
        <w:t>n los territorios de comunidades negras la ordenación forestal deberá ser armonizada y compatibilizada con los Planes de Etnodesarrollo</w:t>
      </w:r>
      <w:r w:rsidR="001A1518">
        <w:t xml:space="preserve"> cuyos lineamientos, al igual que en el caso anterior, se constituyen en determinantes para el </w:t>
      </w:r>
      <w:r w:rsidR="00C70930">
        <w:t>PGOF</w:t>
      </w:r>
      <w:r w:rsidR="00243140" w:rsidRPr="00243140">
        <w:t xml:space="preserve">. </w:t>
      </w:r>
      <w:r w:rsidR="001A1518">
        <w:t>Del mismo modo</w:t>
      </w:r>
      <w:r w:rsidR="00243140" w:rsidRPr="00243140">
        <w:t>, si la respectiva comunidad o Consejo no poseen su Plan de Etnodesarrollo, la ordenación forestal deberá proporcionar la información de línea</w:t>
      </w:r>
      <w:r w:rsidR="007B1CC8">
        <w:t xml:space="preserve"> </w:t>
      </w:r>
      <w:r w:rsidR="00243140" w:rsidRPr="00243140">
        <w:t>base para construir dicho Plan.</w:t>
      </w:r>
    </w:p>
    <w:p w:rsidR="004815FA" w:rsidRPr="00243140" w:rsidRDefault="006D1EF9" w:rsidP="00446ECB">
      <w:pPr>
        <w:pStyle w:val="Prrafodelista"/>
        <w:numPr>
          <w:ilvl w:val="0"/>
          <w:numId w:val="34"/>
        </w:numPr>
      </w:pPr>
      <w:r w:rsidRPr="00243140">
        <w:t xml:space="preserve">Ley 160 </w:t>
      </w:r>
      <w:r w:rsidR="007A55FA">
        <w:t xml:space="preserve">del </w:t>
      </w:r>
      <w:r w:rsidRPr="00243140">
        <w:t>1994.</w:t>
      </w:r>
      <w:r w:rsidR="0028423C" w:rsidRPr="00243140">
        <w:t xml:space="preserve"> </w:t>
      </w:r>
      <w:r w:rsidR="00F00465">
        <w:t>“</w:t>
      </w:r>
      <w:r w:rsidR="004815FA" w:rsidRPr="005E75AC">
        <w:rPr>
          <w:i/>
        </w:rPr>
        <w:t>Por la cual se crea el Sistema Nacional de Reforma Agraria y Desarrollo Rural Campesino, se establece un subsidio para la adquisición de tierras, se reforma el Instituto Colombiano de la Reforma Agraria y se dictan otras disposiciones</w:t>
      </w:r>
      <w:r w:rsidR="00F00465">
        <w:t>”</w:t>
      </w:r>
      <w:r w:rsidR="004815FA" w:rsidRPr="00243140">
        <w:t xml:space="preserve">. </w:t>
      </w:r>
      <w:r w:rsidR="00243140">
        <w:t>En este caso adquiere importancia la figura de las Zonas de Reserva Campesina; caso en el cual la ordenación forestal se convierte en una oportunidad para consolidar e</w:t>
      </w:r>
      <w:r w:rsidR="005B09A9">
        <w:t xml:space="preserve">l manejo de las ya existentes o, también, </w:t>
      </w:r>
      <w:r w:rsidR="00243140">
        <w:t xml:space="preserve">para proporcionar información de línea base para proponer la creación de otras nuevas. </w:t>
      </w:r>
      <w:r w:rsidR="00F00465">
        <w:t xml:space="preserve">También, en el marco de esta Ley, el </w:t>
      </w:r>
      <w:r w:rsidR="00C70930">
        <w:t>PGOF</w:t>
      </w:r>
      <w:r w:rsidR="00F00465">
        <w:t xml:space="preserve"> deberá considerar las </w:t>
      </w:r>
      <w:r w:rsidR="00F00465" w:rsidRPr="004E5F88">
        <w:t>Unidades Agrícolas Familiares – UA</w:t>
      </w:r>
      <w:r w:rsidR="00F00465">
        <w:t>F en la caracterización de los sistemas producción del sector rural y en en el análisis de la propiedad de las tierras forestales y agroforestales.</w:t>
      </w:r>
    </w:p>
    <w:p w:rsidR="00294729" w:rsidRPr="00294729" w:rsidRDefault="0024132B" w:rsidP="005E75AC">
      <w:pPr>
        <w:pStyle w:val="Ttulo2"/>
      </w:pPr>
      <w:bookmarkStart w:id="22" w:name="_Toc23137167"/>
      <w:r>
        <w:t>7</w:t>
      </w:r>
      <w:r w:rsidR="00294729" w:rsidRPr="00294729">
        <w:t>.2 ELEMENTOS CONCEPTUALES Y METODOLÓGICOS</w:t>
      </w:r>
      <w:bookmarkEnd w:id="22"/>
    </w:p>
    <w:p w:rsidR="009948D1" w:rsidRPr="009948D1" w:rsidRDefault="009948D1" w:rsidP="005E75AC">
      <w:r>
        <w:t xml:space="preserve">El componente socioeconómico es transversal y determinante para la fomulación y la puesta en marcha de la ordenación forestal integral y sostenible. Con el fin de apoyar a los participantes en estos procesos y facilitar un adecuado </w:t>
      </w:r>
      <w:r w:rsidR="00C81DD9">
        <w:t xml:space="preserve">abordaje del tema, </w:t>
      </w:r>
      <w:r>
        <w:t>la presente Guía incluye una sección denominada</w:t>
      </w:r>
      <w:r w:rsidR="00C81DD9">
        <w:t xml:space="preserve"> </w:t>
      </w:r>
      <w:r w:rsidR="00C81DD9" w:rsidRPr="00C81DD9">
        <w:rPr>
          <w:i/>
        </w:rPr>
        <w:t>Algunos Elementos Conceptuales para el Desarrollo del Componente Social en la Ordenación Forestal Integral y Sostenible</w:t>
      </w:r>
      <w:r>
        <w:t>, la cual puede ser consultada en el Anexo</w:t>
      </w:r>
      <w:r w:rsidRPr="009948D1">
        <w:t xml:space="preserve"> 5</w:t>
      </w:r>
      <w:r>
        <w:t xml:space="preserve"> de este documento.</w:t>
      </w:r>
    </w:p>
    <w:p w:rsidR="006D1EF9" w:rsidRPr="0020109F" w:rsidRDefault="0024132B" w:rsidP="0020109F">
      <w:pPr>
        <w:pStyle w:val="Ttulo1"/>
      </w:pPr>
      <w:bookmarkStart w:id="23" w:name="_Toc23137168"/>
      <w:r w:rsidRPr="0020109F">
        <w:t>8</w:t>
      </w:r>
      <w:r w:rsidR="006D1EF9" w:rsidRPr="0020109F">
        <w:t>. ARMONIZACIÓN DE LA ORDENACIÓN FORESTAL AL NIVEL REGIONAL</w:t>
      </w:r>
      <w:bookmarkEnd w:id="23"/>
    </w:p>
    <w:p w:rsidR="006D1EF9" w:rsidRPr="000904B9" w:rsidRDefault="00C81DD9" w:rsidP="005E75AC">
      <w:r>
        <w:t>L</w:t>
      </w:r>
      <w:r w:rsidR="006D1EF9" w:rsidRPr="000904B9">
        <w:t xml:space="preserve">os Planes de </w:t>
      </w:r>
      <w:r w:rsidR="006D1EF9">
        <w:t>O</w:t>
      </w:r>
      <w:r w:rsidR="006D1EF9" w:rsidRPr="000904B9">
        <w:t>rdenación Forestal –</w:t>
      </w:r>
      <w:r w:rsidR="00C70930">
        <w:t>PGOF</w:t>
      </w:r>
      <w:r w:rsidR="006D1EF9" w:rsidRPr="000904B9">
        <w:t xml:space="preserve"> - deber</w:t>
      </w:r>
      <w:r w:rsidR="006D1EF9">
        <w:t>á</w:t>
      </w:r>
      <w:r w:rsidR="006D1EF9" w:rsidRPr="000904B9">
        <w:t>n estar articulados a los demás procesos de ordenamiento del territorio, tales como Esquemas de Ordenamiento Territorial, Planes de Ordenamiento Territorial y Planes de Ordenación de Cuencas Hidrográficas, entre otros</w:t>
      </w:r>
      <w:r w:rsidR="006D1EF9">
        <w:t xml:space="preserve"> casos</w:t>
      </w:r>
      <w:r w:rsidR="006D1EF9" w:rsidRPr="000904B9">
        <w:t xml:space="preserve">. </w:t>
      </w:r>
    </w:p>
    <w:p w:rsidR="006D1EF9" w:rsidRPr="005E75AC" w:rsidRDefault="005E75AC" w:rsidP="00446ECB">
      <w:pPr>
        <w:pStyle w:val="Prrafodelista"/>
        <w:numPr>
          <w:ilvl w:val="0"/>
          <w:numId w:val="35"/>
        </w:numPr>
        <w:spacing w:before="120"/>
        <w:ind w:left="714" w:hanging="357"/>
        <w:contextualSpacing w:val="0"/>
        <w:rPr>
          <w:b/>
        </w:rPr>
      </w:pPr>
      <w:r>
        <w:rPr>
          <w:b/>
        </w:rPr>
        <w:t>R</w:t>
      </w:r>
      <w:r w:rsidRPr="005E75AC">
        <w:rPr>
          <w:b/>
        </w:rPr>
        <w:t xml:space="preserve">elación entre el Plan </w:t>
      </w:r>
      <w:r w:rsidR="00D507D2">
        <w:rPr>
          <w:b/>
        </w:rPr>
        <w:t>d</w:t>
      </w:r>
      <w:r w:rsidRPr="005E75AC">
        <w:rPr>
          <w:b/>
        </w:rPr>
        <w:t>e Ordenación Forestal y otros instrumentos de planificación del territorio</w:t>
      </w:r>
    </w:p>
    <w:p w:rsidR="006D1EF9" w:rsidRPr="0067039A" w:rsidRDefault="006D1EF9" w:rsidP="006D1EF9">
      <w:pPr>
        <w:rPr>
          <w:rFonts w:cs="Arial"/>
          <w:szCs w:val="22"/>
        </w:rPr>
      </w:pPr>
      <w:r w:rsidRPr="0067039A">
        <w:rPr>
          <w:rFonts w:cs="Arial"/>
          <w:szCs w:val="22"/>
        </w:rPr>
        <w:t>Los Planes de Ordenación Forestal y los Planes de Ordenación y Manejo de Cuencas Hidrográficas son instrumentos diferentes en su ámbito de aplicación, sus objetivos, sus productos e insumos de información, sus alcances y la prospección de la planificación del territorio. Sin embargo, esto no los hace antagonistas sino que, por el contrario, son complementarios y se articulan en cuanto a la administración de los recursos naturales.</w:t>
      </w:r>
      <w:r w:rsidR="007B1CC8">
        <w:rPr>
          <w:rFonts w:cs="Arial"/>
          <w:szCs w:val="22"/>
        </w:rPr>
        <w:t xml:space="preserve"> </w:t>
      </w:r>
    </w:p>
    <w:p w:rsidR="007E2505" w:rsidRDefault="006D1EF9" w:rsidP="006D1EF9">
      <w:pPr>
        <w:rPr>
          <w:rFonts w:cs="Arial"/>
          <w:szCs w:val="22"/>
        </w:rPr>
      </w:pPr>
      <w:r w:rsidRPr="0067039A">
        <w:rPr>
          <w:rFonts w:cs="Arial"/>
          <w:szCs w:val="22"/>
        </w:rPr>
        <w:lastRenderedPageBreak/>
        <w:t>De acuerdo con la Guía Técnica para la formulación de los Planes de Ordenación y Manejo de Cuencas Hidrográficas</w:t>
      </w:r>
      <w:r w:rsidRPr="0067039A">
        <w:rPr>
          <w:rStyle w:val="Refdenotaalpie"/>
          <w:szCs w:val="22"/>
        </w:rPr>
        <w:footnoteReference w:id="20"/>
      </w:r>
      <w:r w:rsidRPr="0067039A">
        <w:rPr>
          <w:rFonts w:cs="Arial"/>
          <w:szCs w:val="22"/>
        </w:rPr>
        <w:t xml:space="preserve">, el POMCA busca desarrollar la Gobernanza del Agua (íbíd.); </w:t>
      </w:r>
      <w:r w:rsidR="007E2505">
        <w:rPr>
          <w:rFonts w:cs="Arial"/>
          <w:szCs w:val="22"/>
        </w:rPr>
        <w:t>d</w:t>
      </w:r>
      <w:r w:rsidRPr="0067039A">
        <w:rPr>
          <w:rFonts w:cs="Arial"/>
          <w:szCs w:val="22"/>
        </w:rPr>
        <w:t>el mismo modo, con los POMCA se pretende implementar esencialmente la Política Nacional para la Gestión Integral de Recurso Hídrico (PNGIRH)</w:t>
      </w:r>
      <w:r w:rsidRPr="0067039A">
        <w:rPr>
          <w:rStyle w:val="Refdenotaalpie"/>
          <w:szCs w:val="22"/>
        </w:rPr>
        <w:footnoteReference w:id="21"/>
      </w:r>
      <w:r w:rsidR="007E2505">
        <w:rPr>
          <w:rFonts w:cs="Arial"/>
          <w:szCs w:val="22"/>
        </w:rPr>
        <w:t xml:space="preserve">. </w:t>
      </w:r>
      <w:r w:rsidR="007E2505" w:rsidRPr="0067039A">
        <w:rPr>
          <w:rFonts w:cs="Arial"/>
          <w:szCs w:val="22"/>
        </w:rPr>
        <w:t>Del mismo modo</w:t>
      </w:r>
      <w:r w:rsidR="007E2505">
        <w:rPr>
          <w:rFonts w:cs="Arial"/>
          <w:szCs w:val="22"/>
        </w:rPr>
        <w:t>,</w:t>
      </w:r>
      <w:r w:rsidR="007E2505" w:rsidRPr="0067039A">
        <w:rPr>
          <w:rFonts w:cs="Arial"/>
          <w:szCs w:val="22"/>
        </w:rPr>
        <w:t xml:space="preserve"> para el POMCA el escenario de aplicación es el Sistema Cuenca</w:t>
      </w:r>
      <w:r w:rsidR="007E2505">
        <w:rPr>
          <w:rFonts w:cs="Arial"/>
          <w:szCs w:val="22"/>
        </w:rPr>
        <w:t>. L</w:t>
      </w:r>
      <w:r w:rsidR="007E2505" w:rsidRPr="0067039A">
        <w:rPr>
          <w:rFonts w:cs="Arial"/>
          <w:szCs w:val="22"/>
        </w:rPr>
        <w:t>a Guía para los POMCA establece que al nivel regional los Planes de Ordenación Forestal</w:t>
      </w:r>
      <w:r w:rsidR="007B1CC8">
        <w:rPr>
          <w:rFonts w:cs="Arial"/>
          <w:szCs w:val="22"/>
        </w:rPr>
        <w:t xml:space="preserve"> </w:t>
      </w:r>
      <w:r w:rsidR="007E2505" w:rsidRPr="0067039A">
        <w:rPr>
          <w:rFonts w:cs="Arial"/>
          <w:szCs w:val="22"/>
        </w:rPr>
        <w:t>deben ser considerados en las diferentes fases de los POMCA</w:t>
      </w:r>
      <w:r w:rsidR="007E2505" w:rsidRPr="0067039A">
        <w:rPr>
          <w:rStyle w:val="Refdenotaalpie"/>
          <w:szCs w:val="22"/>
        </w:rPr>
        <w:footnoteReference w:id="22"/>
      </w:r>
      <w:r w:rsidR="007E2505" w:rsidRPr="0067039A">
        <w:rPr>
          <w:rFonts w:cs="Arial"/>
          <w:szCs w:val="22"/>
        </w:rPr>
        <w:t>.</w:t>
      </w:r>
      <w:r w:rsidR="007B1CC8">
        <w:rPr>
          <w:rFonts w:cs="Arial"/>
          <w:szCs w:val="22"/>
        </w:rPr>
        <w:t xml:space="preserve"> </w:t>
      </w:r>
    </w:p>
    <w:p w:rsidR="006E5148" w:rsidRDefault="007E2505" w:rsidP="007E2505">
      <w:pPr>
        <w:rPr>
          <w:rFonts w:cs="Arial"/>
          <w:szCs w:val="22"/>
        </w:rPr>
      </w:pPr>
      <w:r>
        <w:rPr>
          <w:rFonts w:cs="Arial"/>
          <w:szCs w:val="22"/>
        </w:rPr>
        <w:t>C</w:t>
      </w:r>
      <w:r w:rsidR="006D1EF9" w:rsidRPr="0067039A">
        <w:rPr>
          <w:rFonts w:cs="Arial"/>
          <w:szCs w:val="22"/>
        </w:rPr>
        <w:t xml:space="preserve">on los </w:t>
      </w:r>
      <w:r w:rsidR="00C70930">
        <w:rPr>
          <w:rFonts w:cs="Arial"/>
          <w:szCs w:val="22"/>
        </w:rPr>
        <w:t>PGOF</w:t>
      </w:r>
      <w:r w:rsidR="006D1EF9" w:rsidRPr="0067039A">
        <w:rPr>
          <w:rFonts w:cs="Arial"/>
          <w:szCs w:val="22"/>
        </w:rPr>
        <w:t xml:space="preserve"> se pretende implementar con igual énfasis la Política de Bosques, la Política Nacional para la Gestión Integral de la Biodiversidad y sus Servicios Ecosistémicos (PNGIBSE), los Lineamientos de Política de Cambio Climático, los Lineamientos para la Política Nacional de Ordenamiento Ambiental del Territorio</w:t>
      </w:r>
      <w:r w:rsidR="006D1EF9">
        <w:rPr>
          <w:rFonts w:cs="Arial"/>
          <w:szCs w:val="22"/>
        </w:rPr>
        <w:t>,</w:t>
      </w:r>
      <w:r w:rsidR="006D1EF9" w:rsidRPr="0067039A">
        <w:rPr>
          <w:rFonts w:cs="Arial"/>
          <w:szCs w:val="22"/>
        </w:rPr>
        <w:t xml:space="preserve"> la Política sobre Conocimiento Tradicional y el Plan Nacional de Desarrollo Forestal, integrando colateralmente elementos de la PNGIRH y de la Política Nacional de Gestión del Riesgo de Desastres.</w:t>
      </w:r>
      <w:r>
        <w:rPr>
          <w:rFonts w:cs="Arial"/>
          <w:szCs w:val="22"/>
        </w:rPr>
        <w:t xml:space="preserve"> P</w:t>
      </w:r>
      <w:r w:rsidR="006D1EF9" w:rsidRPr="0067039A">
        <w:rPr>
          <w:rFonts w:cs="Arial"/>
          <w:szCs w:val="22"/>
        </w:rPr>
        <w:t xml:space="preserve">ara el </w:t>
      </w:r>
      <w:r w:rsidR="00C70930">
        <w:rPr>
          <w:rFonts w:cs="Arial"/>
          <w:szCs w:val="22"/>
        </w:rPr>
        <w:t>PGOF</w:t>
      </w:r>
      <w:r w:rsidR="006D1EF9" w:rsidRPr="0067039A">
        <w:rPr>
          <w:rFonts w:cs="Arial"/>
          <w:szCs w:val="22"/>
        </w:rPr>
        <w:t xml:space="preserve"> el escenario es el Ecosistema Forestal.</w:t>
      </w:r>
      <w:r w:rsidR="004F16B4">
        <w:rPr>
          <w:rFonts w:cs="Arial"/>
          <w:szCs w:val="22"/>
        </w:rPr>
        <w:t xml:space="preserve"> </w:t>
      </w:r>
    </w:p>
    <w:p w:rsidR="006E5148" w:rsidRPr="0067039A" w:rsidRDefault="006E5148" w:rsidP="006E5148">
      <w:pPr>
        <w:rPr>
          <w:rFonts w:cs="Arial"/>
          <w:i/>
          <w:szCs w:val="22"/>
        </w:rPr>
      </w:pPr>
      <w:r>
        <w:rPr>
          <w:rFonts w:cs="Arial"/>
          <w:szCs w:val="22"/>
        </w:rPr>
        <w:t>Por otra parte, e</w:t>
      </w:r>
      <w:r w:rsidR="006D1EF9" w:rsidRPr="0067039A">
        <w:rPr>
          <w:rFonts w:cs="Arial"/>
          <w:szCs w:val="22"/>
        </w:rPr>
        <w:t>l Artículo 23 del Decreto 1640 de 2012 establece que “</w:t>
      </w:r>
      <w:r w:rsidR="006D1EF9" w:rsidRPr="0067039A">
        <w:rPr>
          <w:rFonts w:cs="Arial"/>
          <w:i/>
          <w:szCs w:val="22"/>
        </w:rPr>
        <w:t>el Plan de Ordenación y Manejo de la Cuenca Hidrográfica se constituye en norma de superior jerarquía y determinante ambiental para la elaboración y adopción de los planes de ordenamiento territorial, de conformidad con lo dispuesto en el artículo 10 de la Ley 388 de 1997</w:t>
      </w:r>
      <w:r w:rsidR="006D1EF9" w:rsidRPr="0067039A">
        <w:rPr>
          <w:rFonts w:cs="Arial"/>
          <w:szCs w:val="22"/>
        </w:rPr>
        <w:t>”.</w:t>
      </w:r>
      <w:r w:rsidR="007B1CC8">
        <w:rPr>
          <w:rFonts w:cs="Arial"/>
          <w:szCs w:val="22"/>
        </w:rPr>
        <w:t xml:space="preserve"> </w:t>
      </w:r>
      <w:r w:rsidRPr="0067039A">
        <w:rPr>
          <w:rFonts w:cs="Arial"/>
          <w:szCs w:val="22"/>
        </w:rPr>
        <w:t xml:space="preserve">Según el mismo documento </w:t>
      </w:r>
      <w:r w:rsidRPr="0067039A">
        <w:rPr>
          <w:rFonts w:cs="Arial"/>
          <w:i/>
          <w:szCs w:val="22"/>
        </w:rPr>
        <w:t>“Una vez aprobado el Plan de Ordenación y Manejo de la Cuenca Hidrográfica en la que se localice uno o varios municipios, estos deberán tener en cuenta en sus propios ámbitos de competencia lo definido por el Plan, como norma de superior jerarquía al momento de formular, revisar y adoptar</w:t>
      </w:r>
      <w:r w:rsidR="007B1CC8">
        <w:rPr>
          <w:rFonts w:cs="Arial"/>
          <w:i/>
          <w:szCs w:val="22"/>
        </w:rPr>
        <w:t xml:space="preserve"> </w:t>
      </w:r>
      <w:r w:rsidRPr="0067039A">
        <w:rPr>
          <w:rFonts w:cs="Arial"/>
          <w:i/>
          <w:szCs w:val="22"/>
        </w:rPr>
        <w:t>el respectivo Plan de Ordenamien</w:t>
      </w:r>
      <w:r w:rsidR="005E75AC">
        <w:rPr>
          <w:rFonts w:cs="Arial"/>
          <w:i/>
          <w:szCs w:val="22"/>
        </w:rPr>
        <w:t>to Territorial, con respecto a:</w:t>
      </w:r>
    </w:p>
    <w:p w:rsidR="006E5148" w:rsidRPr="0067039A" w:rsidRDefault="006E5148" w:rsidP="00446ECB">
      <w:pPr>
        <w:pStyle w:val="Prrafodelista"/>
        <w:numPr>
          <w:ilvl w:val="0"/>
          <w:numId w:val="36"/>
        </w:numPr>
      </w:pPr>
      <w:r w:rsidRPr="0067039A">
        <w:t>La zonificación ambiental</w:t>
      </w:r>
    </w:p>
    <w:p w:rsidR="006E5148" w:rsidRPr="0067039A" w:rsidRDefault="006E5148" w:rsidP="00446ECB">
      <w:pPr>
        <w:pStyle w:val="Prrafodelista"/>
        <w:numPr>
          <w:ilvl w:val="0"/>
          <w:numId w:val="36"/>
        </w:numPr>
      </w:pPr>
      <w:r w:rsidRPr="0067039A">
        <w:t>El componente programático</w:t>
      </w:r>
    </w:p>
    <w:p w:rsidR="006E5148" w:rsidRPr="0067039A" w:rsidRDefault="006E5148" w:rsidP="00446ECB">
      <w:pPr>
        <w:pStyle w:val="Prrafodelista"/>
        <w:numPr>
          <w:ilvl w:val="0"/>
          <w:numId w:val="36"/>
        </w:numPr>
      </w:pPr>
      <w:r w:rsidRPr="0067039A">
        <w:t>El componente de gestión del riesgo”.</w:t>
      </w:r>
    </w:p>
    <w:p w:rsidR="006D1EF9" w:rsidRPr="00A108A0" w:rsidRDefault="006E5148" w:rsidP="005E75AC">
      <w:pPr>
        <w:spacing w:before="120"/>
        <w:rPr>
          <w:rFonts w:eastAsiaTheme="minorHAnsi"/>
          <w:i/>
          <w:lang w:eastAsia="en-US"/>
        </w:rPr>
      </w:pPr>
      <w:r>
        <w:rPr>
          <w:rFonts w:cs="Arial"/>
        </w:rPr>
        <w:t>Igualmente, y s</w:t>
      </w:r>
      <w:r w:rsidR="006D1EF9" w:rsidRPr="00A108A0">
        <w:rPr>
          <w:rFonts w:eastAsiaTheme="minorHAnsi"/>
          <w:lang w:eastAsia="en-US"/>
        </w:rPr>
        <w:t>egún el CAPÍTULO III de la Ley 388 de 1997, reglamentado por el Decreto Nacional 879 de 1998, en su Artículo</w:t>
      </w:r>
      <w:r w:rsidR="007B1CC8">
        <w:rPr>
          <w:rFonts w:eastAsiaTheme="minorHAnsi"/>
          <w:lang w:eastAsia="en-US"/>
        </w:rPr>
        <w:t xml:space="preserve"> </w:t>
      </w:r>
      <w:r w:rsidR="006D1EF9" w:rsidRPr="00A108A0">
        <w:rPr>
          <w:rFonts w:eastAsiaTheme="minorHAnsi"/>
          <w:lang w:eastAsia="en-US"/>
        </w:rPr>
        <w:t>9º menciona que el Plan de Ordenamiento Territorial es</w:t>
      </w:r>
      <w:r w:rsidR="006D1EF9">
        <w:rPr>
          <w:rFonts w:eastAsiaTheme="minorHAnsi"/>
          <w:lang w:eastAsia="en-US"/>
        </w:rPr>
        <w:t>:</w:t>
      </w:r>
      <w:r w:rsidR="006D1EF9" w:rsidRPr="00A108A0">
        <w:rPr>
          <w:rFonts w:eastAsiaTheme="minorHAnsi"/>
          <w:lang w:eastAsia="en-US"/>
        </w:rPr>
        <w:t xml:space="preserve"> “</w:t>
      </w:r>
      <w:r w:rsidR="006D1EF9" w:rsidRPr="00A108A0">
        <w:rPr>
          <w:rFonts w:eastAsiaTheme="minorHAnsi"/>
          <w:i/>
          <w:lang w:eastAsia="en-US"/>
        </w:rPr>
        <w:t>el instrumento básico para desarrollar el proceso de ordenamiento del territorio municipal”</w:t>
      </w:r>
      <w:r w:rsidR="006D1EF9" w:rsidRPr="00A108A0">
        <w:rPr>
          <w:rFonts w:eastAsiaTheme="minorHAnsi"/>
          <w:lang w:eastAsia="en-US"/>
        </w:rPr>
        <w:t>. Y, a su vez, lo define como</w:t>
      </w:r>
      <w:r w:rsidR="006D1EF9">
        <w:rPr>
          <w:rFonts w:eastAsiaTheme="minorHAnsi"/>
          <w:lang w:eastAsia="en-US"/>
        </w:rPr>
        <w:t>:</w:t>
      </w:r>
      <w:r w:rsidR="006D1EF9" w:rsidRPr="00A108A0">
        <w:rPr>
          <w:rFonts w:eastAsiaTheme="minorHAnsi"/>
          <w:lang w:eastAsia="en-US"/>
        </w:rPr>
        <w:t xml:space="preserve"> “el conjunto de objetivos, directrices, políticas, estrategias, metas, programas, actuaciones y normas adoptadas para orientar y administrar el desarrollo físico del territor</w:t>
      </w:r>
      <w:r w:rsidR="005E75AC">
        <w:rPr>
          <w:rFonts w:eastAsiaTheme="minorHAnsi"/>
          <w:lang w:eastAsia="en-US"/>
        </w:rPr>
        <w:t>io y la utilización del suelo”.</w:t>
      </w:r>
    </w:p>
    <w:p w:rsidR="006D1EF9" w:rsidRPr="0067039A" w:rsidRDefault="006E5148" w:rsidP="005E75AC">
      <w:pPr>
        <w:rPr>
          <w:i/>
        </w:rPr>
      </w:pPr>
      <w:r>
        <w:rPr>
          <w:rFonts w:cs="Arial"/>
        </w:rPr>
        <w:t xml:space="preserve">Del mismo modo </w:t>
      </w:r>
      <w:r w:rsidR="006D1EF9" w:rsidRPr="0067039A">
        <w:rPr>
          <w:rFonts w:cs="Arial"/>
        </w:rPr>
        <w:t xml:space="preserve">se halla que </w:t>
      </w:r>
      <w:r>
        <w:rPr>
          <w:rFonts w:cs="Arial"/>
        </w:rPr>
        <w:t xml:space="preserve">el </w:t>
      </w:r>
      <w:r w:rsidR="006D1EF9" w:rsidRPr="0067039A">
        <w:t xml:space="preserve">Artículo 10º de la misma </w:t>
      </w:r>
      <w:r w:rsidR="006D1EF9" w:rsidRPr="00A108A0">
        <w:rPr>
          <w:rFonts w:eastAsiaTheme="minorHAnsi"/>
          <w:lang w:eastAsia="en-US"/>
        </w:rPr>
        <w:t>Ley 388 de 1997</w:t>
      </w:r>
      <w:r w:rsidR="006D1EF9" w:rsidRPr="0067039A">
        <w:rPr>
          <w:rFonts w:eastAsiaTheme="minorHAnsi"/>
          <w:lang w:eastAsia="en-US"/>
        </w:rPr>
        <w:t>, r</w:t>
      </w:r>
      <w:r w:rsidR="006D1EF9" w:rsidRPr="0067039A">
        <w:t>eglamentado por el Decreto Nacional 2201 de 2003, sobre determinantes de los planes de ordenamiento territorial, reza que</w:t>
      </w:r>
      <w:r w:rsidR="006D1EF9">
        <w:t>:</w:t>
      </w:r>
      <w:r w:rsidR="006D1EF9" w:rsidRPr="0067039A">
        <w:t xml:space="preserve"> “</w:t>
      </w:r>
      <w:r w:rsidR="006D1EF9" w:rsidRPr="0067039A">
        <w:rPr>
          <w:i/>
        </w:rPr>
        <w:t>En la elaboración y adopción de sus planes de ordenamiento territorial los municipios y distritos deberán tener en cuenta las siguientes determinantes, que constituyen normas de superior jerarquía, en sus propios ámbitos de competencia, de acuerdo con la Constitución y las leyes:</w:t>
      </w:r>
    </w:p>
    <w:p w:rsidR="006D1EF9" w:rsidRPr="0067039A" w:rsidRDefault="006D1EF9" w:rsidP="005E75AC">
      <w:r w:rsidRPr="0067039A">
        <w:t>Las relacionadas con la conservación y protección del medio ambiente, los recursos naturales</w:t>
      </w:r>
      <w:r w:rsidR="006E5148">
        <w:t>,</w:t>
      </w:r>
      <w:r w:rsidRPr="0067039A">
        <w:t xml:space="preserve"> la prevención de amenazas y riesgos naturales, así:</w:t>
      </w:r>
    </w:p>
    <w:p w:rsidR="006D1EF9" w:rsidRPr="0067039A" w:rsidRDefault="006D1EF9" w:rsidP="00446ECB">
      <w:pPr>
        <w:pStyle w:val="Prrafodelista"/>
        <w:numPr>
          <w:ilvl w:val="0"/>
          <w:numId w:val="37"/>
        </w:numPr>
      </w:pPr>
      <w:r w:rsidRPr="0067039A">
        <w:t>Las directrices, normas y reglamentos expedidos en ejercicio de sus respectivas facultades legales, por las entidades del Sistema Nacional Ambiental, en los aspectos relacionados con el ordenamiento espacial del territorio, de acuerdo con la Ley 99 de 1993 y el Código de Recursos Naturales, tales como las limitaciones derivadas de estatuto de zonificación de uso adecuado del territorio y las regulaciones nacionales sobre uso del suelo en lo concerniente exclusivamente a sus aspectos ambientales;</w:t>
      </w:r>
    </w:p>
    <w:p w:rsidR="006D1EF9" w:rsidRPr="0067039A" w:rsidRDefault="006D1EF9" w:rsidP="00446ECB">
      <w:pPr>
        <w:pStyle w:val="Prrafodelista"/>
        <w:numPr>
          <w:ilvl w:val="0"/>
          <w:numId w:val="37"/>
        </w:numPr>
      </w:pPr>
      <w:r w:rsidRPr="0067039A">
        <w:t xml:space="preserve">Las regulaciones sobre conservación, preservación, uso y manejo del medio ambiente y de los recursos naturales renovables, en las zonas marinas y costeras; las disposiciones producidas por la autoridad ambiental de la respectiva jurisdicción, en cuanto a la reserva, alindamiento, administración o sustracción de los distritos de manejo integrado, los distritos de conservación de suelos, las reservas forestales y parques naturales de </w:t>
      </w:r>
      <w:r w:rsidR="007E2505">
        <w:t>car</w:t>
      </w:r>
      <w:r w:rsidRPr="0067039A">
        <w:t xml:space="preserve">ácter regional; las normas y directrices para el manejo de las cuencas hidrográficas expedidas por la </w:t>
      </w:r>
      <w:r>
        <w:t>Autoridad Ambiental Regional</w:t>
      </w:r>
      <w:r w:rsidRPr="0067039A">
        <w:t xml:space="preserve"> o la autoridad ambiental de la </w:t>
      </w:r>
      <w:r w:rsidRPr="0067039A">
        <w:lastRenderedPageBreak/>
        <w:t>respectiva jurisdicción; y las directrices y normas expedidas por las autoridades ambientales para la conservación de las áreas de especial importancia ecosistémica</w:t>
      </w:r>
      <w:r>
        <w:t>”</w:t>
      </w:r>
      <w:r w:rsidRPr="0067039A">
        <w:t>.</w:t>
      </w:r>
    </w:p>
    <w:p w:rsidR="006D1EF9" w:rsidRDefault="006D1EF9" w:rsidP="005E75AC">
      <w:r w:rsidRPr="0067039A">
        <w:t xml:space="preserve">En concordancia </w:t>
      </w:r>
      <w:r>
        <w:t xml:space="preserve">con todos los elementos de juicio analizados en los párrafos inmediatamente anteriores, </w:t>
      </w:r>
      <w:r w:rsidRPr="0067039A">
        <w:t>el Plan de Ordenación Forestal Integral y Sostenible</w:t>
      </w:r>
      <w:r>
        <w:t>, en virtud de su alcance, naturaleza, productos, insumos de información y prospección,</w:t>
      </w:r>
      <w:r w:rsidR="001315CD">
        <w:t xml:space="preserve"> debe</w:t>
      </w:r>
      <w:r w:rsidRPr="0067039A">
        <w:t xml:space="preserve"> ser tomado como instrumento determinante en lo referente al componente de las tierras de vocación forestal y sus recursos y servicios conexos, para </w:t>
      </w:r>
      <w:r>
        <w:t xml:space="preserve">la formulación e implementación de los </w:t>
      </w:r>
      <w:r w:rsidRPr="0067039A">
        <w:t>POMCA</w:t>
      </w:r>
      <w:r>
        <w:t>.</w:t>
      </w:r>
    </w:p>
    <w:p w:rsidR="002C3A8A" w:rsidRDefault="006D1EF9" w:rsidP="005E75AC">
      <w:r>
        <w:t xml:space="preserve">Por último, para formular los </w:t>
      </w:r>
      <w:r w:rsidR="00C70930">
        <w:t>PGOF</w:t>
      </w:r>
      <w:r>
        <w:t xml:space="preserve"> </w:t>
      </w:r>
      <w:r w:rsidR="001315CD">
        <w:t xml:space="preserve">y </w:t>
      </w:r>
      <w:r>
        <w:t xml:space="preserve">los POMCA, las Autoridades Ambientales Regionales no deberán duplicar esfuerzos técnicos, humanos, económicos e institucionales. Por una parte, ambos instrumentos se generan en escala de trabajo 1:25.000; por la otra, resulta que hay algunos productos </w:t>
      </w:r>
      <w:r w:rsidR="001315CD">
        <w:t>car</w:t>
      </w:r>
      <w:r>
        <w:t>tográficos, de ca</w:t>
      </w:r>
      <w:r w:rsidR="00C51BB6">
        <w:t>rac</w:t>
      </w:r>
      <w:r>
        <w:t xml:space="preserve">terización de flora y fauna, de cacterización socioeconómica y de propiedad de la tierra que, sin ser iguales y que tienen diferente análisis y prospección, si presentan elementos afines. Por lo tanto, en aras del uso eficiente de los recursos de trabajo, dichos productos </w:t>
      </w:r>
      <w:r w:rsidR="001315CD">
        <w:t>podrían ser</w:t>
      </w:r>
      <w:r>
        <w:t xml:space="preserve"> compartidos. </w:t>
      </w:r>
    </w:p>
    <w:p w:rsidR="008B2F5C" w:rsidRPr="002C3A8A" w:rsidRDefault="008B2F5C" w:rsidP="005E75AC">
      <w:r w:rsidRPr="002C3A8A">
        <w:t xml:space="preserve">El </w:t>
      </w:r>
      <w:r w:rsidR="00C70930">
        <w:t>PGOF</w:t>
      </w:r>
      <w:r w:rsidRPr="002C3A8A">
        <w:t xml:space="preserve"> cuyo objetivo es planificar el recurso forestal del territorio jurisdicción</w:t>
      </w:r>
      <w:r w:rsidR="004C20C9">
        <w:t xml:space="preserve"> de las Corporaciones Regionales</w:t>
      </w:r>
      <w:r w:rsidRPr="002C3A8A">
        <w:t xml:space="preserve">, deberá ser incluido y servir de insumo durante los procesos de elaboración o actualización de otros instrumentos o herramientas de planificación ambiental de carácter </w:t>
      </w:r>
      <w:r w:rsidRPr="004C20C9">
        <w:t>regional,</w:t>
      </w:r>
      <w:r w:rsidRPr="002C3A8A">
        <w:t xml:space="preserve"> aportando información suficiente, veraz y en las escalas pertinentes, para su efectiva articulación. </w:t>
      </w:r>
    </w:p>
    <w:p w:rsidR="006D1EF9" w:rsidRDefault="004C20C9" w:rsidP="005E75AC">
      <w:r>
        <w:t>E</w:t>
      </w:r>
      <w:r w:rsidR="008B2F5C" w:rsidRPr="008B2F5C">
        <w:t xml:space="preserve">l </w:t>
      </w:r>
      <w:r w:rsidR="00C70930">
        <w:t>PGOF</w:t>
      </w:r>
      <w:r w:rsidR="008B2F5C" w:rsidRPr="008B2F5C">
        <w:t xml:space="preserve"> deberá ser incluido durante los procesos de formulación, revisión, ajuste o actualización de los Planes de Ordenamiento Territorial Municipal (POT)</w:t>
      </w:r>
      <w:r>
        <w:t xml:space="preserve"> y Esquemas de Ordenamiento Territorial (EOT).</w:t>
      </w:r>
      <w:r w:rsidR="007B1CC8">
        <w:t xml:space="preserve"> </w:t>
      </w:r>
    </w:p>
    <w:p w:rsidR="006D1EF9" w:rsidRPr="00D507D2" w:rsidRDefault="003C5097" w:rsidP="00446ECB">
      <w:pPr>
        <w:pStyle w:val="Prrafodelista"/>
        <w:numPr>
          <w:ilvl w:val="0"/>
          <w:numId w:val="38"/>
        </w:numPr>
        <w:spacing w:before="120"/>
        <w:ind w:left="714" w:hanging="357"/>
        <w:contextualSpacing w:val="0"/>
        <w:rPr>
          <w:b/>
          <w:color w:val="000000"/>
        </w:rPr>
      </w:pPr>
      <w:r>
        <w:rPr>
          <w:b/>
        </w:rPr>
        <w:t>L</w:t>
      </w:r>
      <w:r w:rsidRPr="00D507D2">
        <w:rPr>
          <w:b/>
        </w:rPr>
        <w:t xml:space="preserve">a Ordenación Forestal Regional en zonas de reserva forestal </w:t>
      </w:r>
      <w:r w:rsidR="00D507D2" w:rsidRPr="00D507D2">
        <w:rPr>
          <w:b/>
        </w:rPr>
        <w:t>(LEY 2ª DE 1959)</w:t>
      </w:r>
    </w:p>
    <w:p w:rsidR="0075072A" w:rsidRDefault="0075072A" w:rsidP="003C5097">
      <w:r w:rsidRPr="005330AF">
        <w:t xml:space="preserve">Todas las Reservas Forestales Nacionales establecidas por la Ley 2ª de 1959 son objeto de ordenación forestal integral y sostenible al nivel regional por parte de las respectivas Autoridades Ambientales Regionales, cuando </w:t>
      </w:r>
      <w:r>
        <w:t xml:space="preserve">las mismas existiesen </w:t>
      </w:r>
      <w:r w:rsidRPr="005330AF">
        <w:t xml:space="preserve">en su área de jurisdicción. </w:t>
      </w:r>
    </w:p>
    <w:p w:rsidR="0075072A" w:rsidRPr="00AE18DB" w:rsidRDefault="0075072A" w:rsidP="003C5097">
      <w:r w:rsidRPr="005330AF">
        <w:t>Es de tener en cuenta que la ordenación forestal regional se lleva a cabo en escala de trabajo 1:25.000, en tanto que el ordenamiento de las zonas de reserva forestal de ley 2ª./59 por parte del MADS ha sido realizado en una escala 1:100.000</w:t>
      </w:r>
      <w:r>
        <w:t xml:space="preserve">; y que por esta razón el </w:t>
      </w:r>
      <w:r w:rsidR="00C70930">
        <w:t>PGOF</w:t>
      </w:r>
      <w:r>
        <w:t xml:space="preserve"> suministra información y productos cartográficos de mayor detalle que, eventualmente, pueden contribuir a decidir con mayor precisión el uso de las tierras forestales localizadas al interior de dichas reservas. </w:t>
      </w:r>
    </w:p>
    <w:p w:rsidR="006D1EF9" w:rsidRPr="005A3CFC" w:rsidRDefault="0024132B" w:rsidP="003C5097">
      <w:pPr>
        <w:pStyle w:val="Ttulo1"/>
      </w:pPr>
      <w:bookmarkStart w:id="24" w:name="_Toc23137169"/>
      <w:r>
        <w:t>9</w:t>
      </w:r>
      <w:r w:rsidR="006D1EF9">
        <w:t>.</w:t>
      </w:r>
      <w:r w:rsidR="007B1CC8">
        <w:t xml:space="preserve"> </w:t>
      </w:r>
      <w:r w:rsidR="006D1EF9">
        <w:t>ARTICULACIÓN DE LA ORDENACIÓN FORESTAL EN</w:t>
      </w:r>
      <w:r w:rsidR="006D1EF9" w:rsidRPr="005A3CFC">
        <w:t xml:space="preserve"> LA GESTIÓN DE LAS CORPORACIONES REGIONALES</w:t>
      </w:r>
      <w:bookmarkEnd w:id="24"/>
    </w:p>
    <w:p w:rsidR="006D1EF9" w:rsidRPr="00A01DD6" w:rsidRDefault="006D1EF9" w:rsidP="003C5097">
      <w:pPr>
        <w:spacing w:after="120"/>
        <w:rPr>
          <w:szCs w:val="22"/>
          <w:lang w:val="es-CO"/>
        </w:rPr>
      </w:pPr>
      <w:r w:rsidRPr="003C5097">
        <w:t>En el marco del Plan Nacional de Desarrollo Forestal</w:t>
      </w:r>
      <w:r w:rsidR="00580C92" w:rsidRPr="003C5097">
        <w:footnoteReference w:id="23"/>
      </w:r>
      <w:r w:rsidRPr="003C5097">
        <w:t xml:space="preserve">, específicamente en el contexto del Programa de Ordenación, Conservación y Restauración de ecosistemas forestales, </w:t>
      </w:r>
      <w:r w:rsidR="00580C92" w:rsidRPr="003C5097">
        <w:t>la</w:t>
      </w:r>
      <w:r w:rsidRPr="003C5097">
        <w:t xml:space="preserve"> Ordenación Forestal alcanza tres perspectivas fundamentales para la misión y gestión las Autoridades Ambientales Regionales</w:t>
      </w:r>
      <w:r w:rsidRPr="00A01DD6">
        <w:rPr>
          <w:szCs w:val="22"/>
          <w:lang w:val="es-CO"/>
        </w:rPr>
        <w:t>:</w:t>
      </w:r>
    </w:p>
    <w:p w:rsidR="006D1EF9" w:rsidRPr="003C5097" w:rsidRDefault="006D1EF9" w:rsidP="00446ECB">
      <w:pPr>
        <w:pStyle w:val="Prrafodelista"/>
        <w:numPr>
          <w:ilvl w:val="0"/>
          <w:numId w:val="39"/>
        </w:numPr>
        <w:rPr>
          <w:lang w:val="es-CO"/>
        </w:rPr>
      </w:pPr>
      <w:r w:rsidRPr="003C5097">
        <w:rPr>
          <w:lang w:val="es-CO"/>
        </w:rPr>
        <w:t>La Ordenación Forestal se constituye en el marco técnico-científico, socioeconómico, legal, político e institucional para la conservación, el manejo, la recuperación, la protección y el uso sostenible de las tierras forestales y sus recursos y servicios conexos.</w:t>
      </w:r>
      <w:r w:rsidR="007B1CC8" w:rsidRPr="003C5097">
        <w:rPr>
          <w:lang w:val="es-CO"/>
        </w:rPr>
        <w:t xml:space="preserve"> </w:t>
      </w:r>
    </w:p>
    <w:p w:rsidR="006D1EF9" w:rsidRPr="003C5097" w:rsidRDefault="006D1EF9" w:rsidP="00446ECB">
      <w:pPr>
        <w:pStyle w:val="Prrafodelista"/>
        <w:numPr>
          <w:ilvl w:val="0"/>
          <w:numId w:val="39"/>
        </w:numPr>
        <w:rPr>
          <w:lang w:val="es-CO"/>
        </w:rPr>
      </w:pPr>
      <w:r w:rsidRPr="003C5097">
        <w:rPr>
          <w:lang w:val="es-CO"/>
        </w:rPr>
        <w:tab/>
        <w:t>El Plan de Ordenación Forestal es la carta de navegación de las Autoridades Ambientales Nacionales y Regionales para cumplir sus objetivos misionales institucionales en cuanto a la administración, gestión y fomento de los recursos forestales.</w:t>
      </w:r>
    </w:p>
    <w:p w:rsidR="006D1EF9" w:rsidRPr="003C5097" w:rsidRDefault="006D1EF9" w:rsidP="00446ECB">
      <w:pPr>
        <w:pStyle w:val="Prrafodelista"/>
        <w:numPr>
          <w:ilvl w:val="0"/>
          <w:numId w:val="39"/>
        </w:numPr>
        <w:spacing w:after="120"/>
        <w:ind w:left="714" w:hanging="357"/>
        <w:contextualSpacing w:val="0"/>
        <w:rPr>
          <w:lang w:val="es-CO"/>
        </w:rPr>
      </w:pPr>
      <w:r w:rsidRPr="003C5097">
        <w:rPr>
          <w:lang w:val="es-CO"/>
        </w:rPr>
        <w:tab/>
        <w:t>Concatenado con lo anterior, los elementos del Plan General de Ordenación Forestal y su implementación deberá ser incorporado en los PGAR, los Planes Anuales de Acción y Presupuestos de las Autoridades Ambientales Regionales.</w:t>
      </w:r>
    </w:p>
    <w:p w:rsidR="006D1EF9" w:rsidRPr="00805FED" w:rsidRDefault="006D1EF9" w:rsidP="003C5097">
      <w:pPr>
        <w:rPr>
          <w:lang w:val="es-CO"/>
        </w:rPr>
      </w:pPr>
      <w:r>
        <w:rPr>
          <w:lang w:val="es-CO"/>
        </w:rPr>
        <w:t>Es fundamental para cada Autoridad Ambiental Regional tener en cuenta que e</w:t>
      </w:r>
      <w:r w:rsidRPr="00805FED">
        <w:rPr>
          <w:lang w:val="es-CO"/>
        </w:rPr>
        <w:t xml:space="preserve">l Plan General de Ordenación </w:t>
      </w:r>
      <w:r w:rsidR="006B2CC6">
        <w:rPr>
          <w:lang w:val="es-CO"/>
        </w:rPr>
        <w:t xml:space="preserve">Forestal </w:t>
      </w:r>
      <w:r>
        <w:rPr>
          <w:lang w:val="es-CO"/>
        </w:rPr>
        <w:t xml:space="preserve">le </w:t>
      </w:r>
      <w:r w:rsidR="00580C92">
        <w:rPr>
          <w:lang w:val="es-CO"/>
        </w:rPr>
        <w:t>facilita optimizar su</w:t>
      </w:r>
      <w:r>
        <w:rPr>
          <w:lang w:val="es-CO"/>
        </w:rPr>
        <w:t xml:space="preserve"> gestión</w:t>
      </w:r>
      <w:r w:rsidR="00580C92">
        <w:rPr>
          <w:lang w:val="es-CO"/>
        </w:rPr>
        <w:t xml:space="preserve"> con base en los siguientes aspectos</w:t>
      </w:r>
      <w:r>
        <w:rPr>
          <w:lang w:val="es-CO"/>
        </w:rPr>
        <w:t xml:space="preserve">: </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lastRenderedPageBreak/>
        <w:t>Disponer de un Instrumento Estratégico de Gestión Recursos Forestales para cumplimiento de la misión institucional, de manera más cohesionada, sistemática y eficiente.</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Fijación de determinantes ambientales en las variables forestales para los POT,</w:t>
      </w:r>
      <w:r w:rsidR="007B1CC8" w:rsidRPr="003C5097">
        <w:rPr>
          <w:rStyle w:val="nfasis"/>
          <w:rFonts w:eastAsia="Calibri"/>
          <w:i w:val="0"/>
          <w:szCs w:val="22"/>
        </w:rPr>
        <w:t xml:space="preserve"> </w:t>
      </w:r>
      <w:r w:rsidRPr="003C5097">
        <w:rPr>
          <w:rStyle w:val="nfasis"/>
          <w:rFonts w:eastAsia="Calibri"/>
          <w:i w:val="0"/>
          <w:szCs w:val="22"/>
        </w:rPr>
        <w:t>EOT, POMCAS, entre otros instrumentos de planificación del territorio.</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Focalización, definición y priorización de las áreas forestales para restauración y rehabilitación, manejo de bosques naturales, reforestación protectora, reforestación comercial, aprovechamiento de productos forestales maderables, aprovechamiento de productos forestales no maderables, protección hídrica, proyectos de captura de CO2, entre otras tipologías.</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Acceder a cupos de aprovechamiento que les otorga el MADS y por tanto poder otorgar oportunamente aprovechamientos de bosque natural.</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Facilitar y apoyar la Gobernanza Forestal por parte de las Autoridades Ambientales Regionales, especialmente en torno al seguimiento y evaluación a los Planes de Manejo Forestal y los Aprovechamientos Forestal y la trazabilidad de la producción forestal.</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Administrar Áreas para la Conservación de Ecosistemas Estratégicos, la conformación de Corredores Biológicos y establecer conectividad biológica entre estos.</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Determinar y establecer vedas de especies, con fundamentos técnicos, científicos y socioeconómicos resultantes de los estudios realizados para formular el Plan de Ordenación Forestal.</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 xml:space="preserve">Fortalecer su papel de autoridad ambiental ante los entes territoriales, la sociedad civil y los productores y las comunidades rurales . </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Disponer de mayor cantidad de insumos</w:t>
      </w:r>
      <w:r w:rsidR="007B1CC8" w:rsidRPr="003C5097">
        <w:rPr>
          <w:rStyle w:val="nfasis"/>
          <w:rFonts w:eastAsia="Calibri"/>
          <w:i w:val="0"/>
          <w:szCs w:val="22"/>
        </w:rPr>
        <w:t xml:space="preserve"> </w:t>
      </w:r>
      <w:r w:rsidRPr="003C5097">
        <w:rPr>
          <w:rStyle w:val="nfasis"/>
          <w:rFonts w:eastAsia="Calibri"/>
          <w:i w:val="0"/>
          <w:szCs w:val="22"/>
        </w:rPr>
        <w:t>de información e instrumentos técnicos y socioeconómicos para apoyar la gestión del riesgo.</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Tener bases de planificación del territorio y alternativas de solución para</w:t>
      </w:r>
      <w:r w:rsidR="007B1CC8" w:rsidRPr="003C5097">
        <w:rPr>
          <w:rStyle w:val="nfasis"/>
          <w:rFonts w:eastAsia="Calibri"/>
          <w:i w:val="0"/>
          <w:szCs w:val="22"/>
        </w:rPr>
        <w:t xml:space="preserve"> </w:t>
      </w:r>
      <w:r w:rsidRPr="003C5097">
        <w:rPr>
          <w:rStyle w:val="nfasis"/>
          <w:rFonts w:eastAsia="Calibri"/>
          <w:i w:val="0"/>
          <w:szCs w:val="22"/>
        </w:rPr>
        <w:t>apoyar un eventual postconflicto.</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Disponer de elementos conceptuales, metodológicos, procedimentales y técnicos para desarrollar</w:t>
      </w:r>
      <w:r w:rsidR="007B1CC8" w:rsidRPr="003C5097">
        <w:rPr>
          <w:rStyle w:val="nfasis"/>
          <w:rFonts w:eastAsia="Calibri"/>
          <w:i w:val="0"/>
          <w:szCs w:val="22"/>
        </w:rPr>
        <w:t xml:space="preserve"> </w:t>
      </w:r>
      <w:r w:rsidRPr="003C5097">
        <w:rPr>
          <w:rStyle w:val="nfasis"/>
          <w:rFonts w:eastAsia="Calibri"/>
          <w:i w:val="0"/>
          <w:szCs w:val="22"/>
        </w:rPr>
        <w:t>y materializar, en las Áreas de Reserva Forestal de la Ley 2ª./1959, los lineamientos de ordenación forestal establecidos para las mismas por el Ministerio de Ambiente y Desarrollo Sostenible.</w:t>
      </w:r>
    </w:p>
    <w:p w:rsidR="006D1EF9" w:rsidRPr="003C5097" w:rsidRDefault="006D1EF9" w:rsidP="00446ECB">
      <w:pPr>
        <w:pStyle w:val="Prrafodelista"/>
        <w:numPr>
          <w:ilvl w:val="0"/>
          <w:numId w:val="40"/>
        </w:numPr>
        <w:rPr>
          <w:rStyle w:val="nfasis"/>
          <w:rFonts w:eastAsia="Calibri"/>
          <w:i w:val="0"/>
          <w:szCs w:val="22"/>
        </w:rPr>
      </w:pPr>
      <w:r w:rsidRPr="003C5097">
        <w:rPr>
          <w:rStyle w:val="nfasis"/>
          <w:rFonts w:eastAsia="Calibri"/>
          <w:i w:val="0"/>
          <w:szCs w:val="22"/>
        </w:rPr>
        <w:t>Zonificar, delimitar y caracterizar áreas forestales para desarrollar iniciativas relacionadas con la implementación de la Política de Cambio Climático, tales como por ejemplo proyectos de venta de servicios por secuestro de carbono en áreas de bosques naturales, entre otros casos.</w:t>
      </w:r>
    </w:p>
    <w:p w:rsidR="006D1EF9" w:rsidRDefault="00580C92" w:rsidP="003C5097">
      <w:pPr>
        <w:spacing w:before="120"/>
        <w:rPr>
          <w:rFonts w:cs="Arial"/>
        </w:rPr>
      </w:pPr>
      <w:r w:rsidRPr="00834BBB">
        <w:t xml:space="preserve">Por todos los </w:t>
      </w:r>
      <w:r w:rsidR="00834BBB" w:rsidRPr="00834BBB">
        <w:t>elementos anteriormente descritos, e</w:t>
      </w:r>
      <w:r w:rsidRPr="00834BBB">
        <w:t xml:space="preserve">l </w:t>
      </w:r>
      <w:r w:rsidR="00C70930">
        <w:t>PGOF</w:t>
      </w:r>
      <w:r w:rsidRPr="00834BBB">
        <w:t xml:space="preserve"> no solo debe ser formulado sino también implementado</w:t>
      </w:r>
      <w:r w:rsidR="00834BBB" w:rsidRPr="00834BBB">
        <w:t xml:space="preserve">; </w:t>
      </w:r>
      <w:r w:rsidRPr="00834BBB">
        <w:t xml:space="preserve">razón por la cual </w:t>
      </w:r>
      <w:r w:rsidRPr="00834BBB">
        <w:rPr>
          <w:lang w:val="es-CO"/>
        </w:rPr>
        <w:t>requiere ser</w:t>
      </w:r>
      <w:r w:rsidR="007B1CC8">
        <w:rPr>
          <w:lang w:val="es-CO"/>
        </w:rPr>
        <w:t xml:space="preserve"> </w:t>
      </w:r>
      <w:r w:rsidRPr="00834BBB">
        <w:rPr>
          <w:lang w:val="es-CO"/>
        </w:rPr>
        <w:t>incluido en los diferentes instrumentos de gestión de las Corporaciones Regionales.</w:t>
      </w:r>
      <w:r w:rsidR="00834BBB">
        <w:rPr>
          <w:lang w:val="es-CO"/>
        </w:rPr>
        <w:t xml:space="preserve"> </w:t>
      </w:r>
      <w:r w:rsidR="00834BBB">
        <w:rPr>
          <w:rFonts w:cs="Arial"/>
        </w:rPr>
        <w:t>E</w:t>
      </w:r>
      <w:r w:rsidR="006D1EF9">
        <w:rPr>
          <w:rFonts w:cs="Arial"/>
        </w:rPr>
        <w:t xml:space="preserve">n este sentido, se señala que, </w:t>
      </w:r>
      <w:r w:rsidR="006D1EF9" w:rsidRPr="008B3AD7">
        <w:rPr>
          <w:rFonts w:cs="Arial"/>
        </w:rPr>
        <w:t xml:space="preserve">una vez el </w:t>
      </w:r>
      <w:r w:rsidR="00C70930">
        <w:rPr>
          <w:rFonts w:cs="Arial"/>
        </w:rPr>
        <w:t>PGOF</w:t>
      </w:r>
      <w:r w:rsidR="00834BBB">
        <w:rPr>
          <w:rFonts w:cs="Arial"/>
        </w:rPr>
        <w:t xml:space="preserve"> sea adoptado por la Autoridad Ambiental Regional</w:t>
      </w:r>
      <w:r w:rsidR="006D1EF9" w:rsidRPr="008B3AD7">
        <w:rPr>
          <w:rFonts w:cs="Arial"/>
        </w:rPr>
        <w:t xml:space="preserve">, </w:t>
      </w:r>
      <w:r w:rsidR="006D1EF9">
        <w:rPr>
          <w:rFonts w:cs="Arial"/>
        </w:rPr>
        <w:t>sus elementos</w:t>
      </w:r>
      <w:r w:rsidR="007B1CC8">
        <w:rPr>
          <w:rFonts w:cs="Arial"/>
        </w:rPr>
        <w:t xml:space="preserve"> </w:t>
      </w:r>
      <w:r w:rsidR="006D1EF9">
        <w:rPr>
          <w:rFonts w:cs="Arial"/>
        </w:rPr>
        <w:t xml:space="preserve">conceptuales, técnicos, legales y de decisión deberán ser incluidos en los PGAR, los Planes de Acción Anual y los presupuestos anuales de la </w:t>
      </w:r>
      <w:r w:rsidR="00834BBB">
        <w:rPr>
          <w:rFonts w:cs="Arial"/>
        </w:rPr>
        <w:t>misma</w:t>
      </w:r>
      <w:r w:rsidR="006D1EF9">
        <w:rPr>
          <w:rFonts w:cs="Arial"/>
        </w:rPr>
        <w:t>.</w:t>
      </w:r>
    </w:p>
    <w:p w:rsidR="006D1EF9" w:rsidRDefault="006D1EF9" w:rsidP="003C5097">
      <w:pPr>
        <w:rPr>
          <w:rFonts w:cs="Arial"/>
        </w:rPr>
      </w:pPr>
      <w:r>
        <w:rPr>
          <w:rFonts w:cs="Arial"/>
        </w:rPr>
        <w:t xml:space="preserve">En el marco del anterior proceso, cada Autoridad Ambiental Regional deberá </w:t>
      </w:r>
      <w:r w:rsidR="00834BBB">
        <w:rPr>
          <w:rFonts w:cs="Arial"/>
        </w:rPr>
        <w:t>adelantar sus actuaciones a partir del</w:t>
      </w:r>
      <w:r w:rsidR="007B1CC8">
        <w:rPr>
          <w:rFonts w:cs="Arial"/>
        </w:rPr>
        <w:t xml:space="preserve"> </w:t>
      </w:r>
      <w:r w:rsidR="006B0FB2">
        <w:rPr>
          <w:rFonts w:cs="Arial"/>
        </w:rPr>
        <w:t>régimen de ordenación forestal</w:t>
      </w:r>
      <w:r w:rsidR="00E01E33">
        <w:rPr>
          <w:rStyle w:val="Refdenotaalpie"/>
          <w:szCs w:val="22"/>
        </w:rPr>
        <w:footnoteReference w:id="24"/>
      </w:r>
      <w:r w:rsidR="00834BBB">
        <w:rPr>
          <w:rFonts w:cs="Arial"/>
        </w:rPr>
        <w:t xml:space="preserve"> fijado en el </w:t>
      </w:r>
      <w:r w:rsidR="00C70930">
        <w:rPr>
          <w:rFonts w:cs="Arial"/>
        </w:rPr>
        <w:t>PGOF</w:t>
      </w:r>
      <w:r w:rsidR="00E01E33">
        <w:rPr>
          <w:rFonts w:cs="Arial"/>
        </w:rPr>
        <w:t>.</w:t>
      </w:r>
      <w:r w:rsidR="006B0FB2">
        <w:rPr>
          <w:rFonts w:cs="Arial"/>
        </w:rPr>
        <w:t xml:space="preserve"> </w:t>
      </w:r>
    </w:p>
    <w:p w:rsidR="006D1EF9" w:rsidRDefault="00FE7302" w:rsidP="003C5097">
      <w:pPr>
        <w:pStyle w:val="Ttulo1"/>
      </w:pPr>
      <w:bookmarkStart w:id="25" w:name="_Toc23137170"/>
      <w:r>
        <w:t>1</w:t>
      </w:r>
      <w:r w:rsidR="0024132B">
        <w:t>0</w:t>
      </w:r>
      <w:r w:rsidR="006D1EF9">
        <w:t xml:space="preserve">. </w:t>
      </w:r>
      <w:r w:rsidR="008D202D">
        <w:t>EVALUACIÓN</w:t>
      </w:r>
      <w:r w:rsidR="001C4521">
        <w:t xml:space="preserve"> Y ACTUALIZACIÓN</w:t>
      </w:r>
      <w:r w:rsidR="006D1EF9">
        <w:t xml:space="preserve"> DE LA ORDENACIÓN FORESTAL</w:t>
      </w:r>
      <w:bookmarkEnd w:id="25"/>
    </w:p>
    <w:p w:rsidR="006D1EF9" w:rsidRDefault="006D1EF9" w:rsidP="006D1EF9">
      <w:pPr>
        <w:rPr>
          <w:rFonts w:cs="Arial"/>
          <w:bCs/>
          <w:szCs w:val="22"/>
        </w:rPr>
      </w:pPr>
      <w:r>
        <w:rPr>
          <w:rFonts w:cs="Arial"/>
          <w:szCs w:val="22"/>
        </w:rPr>
        <w:t xml:space="preserve">La vigencia del Plan </w:t>
      </w:r>
      <w:r w:rsidR="00FC2C7B">
        <w:rPr>
          <w:rFonts w:cs="Arial"/>
          <w:szCs w:val="22"/>
        </w:rPr>
        <w:t xml:space="preserve">General </w:t>
      </w:r>
      <w:r w:rsidR="0024132B">
        <w:rPr>
          <w:rFonts w:cs="Arial"/>
          <w:szCs w:val="22"/>
        </w:rPr>
        <w:t>de Ordenación Forestal de la CDMB será</w:t>
      </w:r>
      <w:r>
        <w:rPr>
          <w:rFonts w:cs="Arial"/>
          <w:szCs w:val="22"/>
        </w:rPr>
        <w:t xml:space="preserve"> indefinida. Sin embargo, </w:t>
      </w:r>
      <w:r w:rsidR="0024132B">
        <w:rPr>
          <w:rFonts w:cs="Arial"/>
          <w:szCs w:val="22"/>
        </w:rPr>
        <w:t>se recomienda que sea</w:t>
      </w:r>
      <w:r>
        <w:rPr>
          <w:rFonts w:cs="Arial"/>
          <w:szCs w:val="22"/>
        </w:rPr>
        <w:t xml:space="preserve"> </w:t>
      </w:r>
      <w:r>
        <w:rPr>
          <w:rFonts w:cs="Arial"/>
          <w:bCs/>
          <w:szCs w:val="22"/>
        </w:rPr>
        <w:t>sometido a evaluación cada cuatro (4)</w:t>
      </w:r>
      <w:r w:rsidR="007B1CC8">
        <w:rPr>
          <w:rFonts w:cs="Arial"/>
          <w:bCs/>
          <w:szCs w:val="22"/>
        </w:rPr>
        <w:t xml:space="preserve"> </w:t>
      </w:r>
      <w:r>
        <w:rPr>
          <w:rFonts w:cs="Arial"/>
          <w:bCs/>
          <w:szCs w:val="22"/>
        </w:rPr>
        <w:t xml:space="preserve">años por parte de la Autoridad Ambiental Regional, mediante una base de criterios e indicadores que se incluyen en sección posterior de la presente Guía. Del mismo modo, </w:t>
      </w:r>
      <w:r>
        <w:rPr>
          <w:rFonts w:cs="Arial"/>
          <w:szCs w:val="22"/>
        </w:rPr>
        <w:t xml:space="preserve">el Plan de Ordenación Forestal será actualizado por la Autoridad Ambiental Regional </w:t>
      </w:r>
      <w:r>
        <w:rPr>
          <w:rFonts w:cs="Arial"/>
          <w:bCs/>
          <w:szCs w:val="22"/>
        </w:rPr>
        <w:t>cada ocho (8) años, renovando y complementado las líneas base de cartografía e indicadores ecológicos, silviculturales, legales, sociales, económicos y culturales, tanto con</w:t>
      </w:r>
      <w:r w:rsidR="007B1CC8">
        <w:rPr>
          <w:rFonts w:cs="Arial"/>
          <w:bCs/>
          <w:szCs w:val="22"/>
        </w:rPr>
        <w:t xml:space="preserve"> </w:t>
      </w:r>
      <w:r>
        <w:rPr>
          <w:rFonts w:cs="Arial"/>
          <w:bCs/>
          <w:szCs w:val="22"/>
        </w:rPr>
        <w:t>información primaria como con información secundaria.</w:t>
      </w:r>
    </w:p>
    <w:p w:rsidR="006D1EF9" w:rsidRDefault="006D1EF9" w:rsidP="00D94B03">
      <w:r>
        <w:lastRenderedPageBreak/>
        <w:t xml:space="preserve">Además, en el ejercicio de actualización del </w:t>
      </w:r>
      <w:r w:rsidR="00C70930">
        <w:t>PGOF</w:t>
      </w:r>
      <w:r>
        <w:t xml:space="preserve"> pueden ser recategorizadas alguna(s) de las Unidades Administrativas de Ordenación Forestal y, en consecuencia, ser ajustado su régimen de ordenación forestal en cuanto a objetivos, actividades permitidas, actividades prohibi</w:t>
      </w:r>
      <w:r w:rsidR="00D94B03">
        <w:t>das y actividades restringidas.</w:t>
      </w:r>
    </w:p>
    <w:p w:rsidR="006D1EF9" w:rsidRPr="00644474" w:rsidRDefault="00C51BB6" w:rsidP="00D94B03">
      <w:pPr>
        <w:pStyle w:val="Ttulo1"/>
      </w:pPr>
      <w:bookmarkStart w:id="26" w:name="_Toc23137171"/>
      <w:r>
        <w:t>1</w:t>
      </w:r>
      <w:r w:rsidR="00C468C5">
        <w:t>1</w:t>
      </w:r>
      <w:r w:rsidR="006D1EF9" w:rsidRPr="00644474">
        <w:t>. FASES Y FLUJO DE ACTIVIDADES PARA EL DESARROLLO DE LA ORDENACIÓN FORESTAL</w:t>
      </w:r>
      <w:bookmarkEnd w:id="26"/>
    </w:p>
    <w:p w:rsidR="006D1EF9" w:rsidRDefault="006D1EF9" w:rsidP="00D94B03">
      <w:r>
        <w:t xml:space="preserve">El </w:t>
      </w:r>
      <w:r w:rsidR="00E24ECE">
        <w:t xml:space="preserve">proceso de formulación de la ordenación forestal </w:t>
      </w:r>
      <w:r>
        <w:t>integral co</w:t>
      </w:r>
      <w:r w:rsidR="00E24ECE">
        <w:t>nlleva la realización secuencial</w:t>
      </w:r>
      <w:r>
        <w:t xml:space="preserve"> de las fases, </w:t>
      </w:r>
      <w:r w:rsidRPr="00A01DD6">
        <w:t>actividades</w:t>
      </w:r>
      <w:r>
        <w:t>, subactividades y etapas</w:t>
      </w:r>
      <w:r w:rsidRPr="00A01DD6">
        <w:t xml:space="preserve"> que a continuación se desglosan:</w:t>
      </w:r>
      <w:r w:rsidR="00807CF6">
        <w:t xml:space="preserve"> </w:t>
      </w:r>
    </w:p>
    <w:p w:rsidR="006D1EF9" w:rsidRPr="001C537F" w:rsidRDefault="006D1EF9" w:rsidP="006D1EF9">
      <w:pPr>
        <w:rPr>
          <w:rFonts w:cs="Arial"/>
          <w:sz w:val="16"/>
          <w:szCs w:val="16"/>
        </w:rPr>
      </w:pPr>
    </w:p>
    <w:p w:rsidR="006D1EF9" w:rsidRDefault="006D1EF9" w:rsidP="0020109F">
      <w:pPr>
        <w:tabs>
          <w:tab w:val="left" w:pos="6804"/>
          <w:tab w:val="left" w:pos="7088"/>
        </w:tabs>
        <w:jc w:val="center"/>
        <w:rPr>
          <w:rFonts w:cs="Arial"/>
          <w:szCs w:val="22"/>
        </w:rPr>
      </w:pPr>
      <w:r>
        <w:rPr>
          <w:rFonts w:cs="Arial"/>
          <w:noProof/>
          <w:szCs w:val="22"/>
          <w:lang w:val="es-CO" w:eastAsia="es-CO"/>
        </w:rPr>
        <w:drawing>
          <wp:inline distT="0" distB="0" distL="0" distR="0" wp14:anchorId="6A630571" wp14:editId="73D4A820">
            <wp:extent cx="4419600" cy="263652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06240" cy="2688205"/>
                    </a:xfrm>
                    <a:prstGeom prst="rect">
                      <a:avLst/>
                    </a:prstGeom>
                    <a:noFill/>
                  </pic:spPr>
                </pic:pic>
              </a:graphicData>
            </a:graphic>
          </wp:inline>
        </w:drawing>
      </w:r>
    </w:p>
    <w:p w:rsidR="006D1EF9" w:rsidRDefault="002B11C3" w:rsidP="0020109F">
      <w:pPr>
        <w:tabs>
          <w:tab w:val="left" w:pos="6804"/>
          <w:tab w:val="left" w:pos="7088"/>
          <w:tab w:val="left" w:pos="7371"/>
        </w:tabs>
        <w:jc w:val="center"/>
        <w:rPr>
          <w:rFonts w:cs="Arial"/>
          <w:szCs w:val="22"/>
        </w:rPr>
      </w:pPr>
      <w:r>
        <w:rPr>
          <w:rFonts w:cs="Arial"/>
          <w:noProof/>
          <w:szCs w:val="22"/>
          <w:lang w:val="es-CO" w:eastAsia="es-CO"/>
        </w:rPr>
        <w:drawing>
          <wp:inline distT="0" distB="0" distL="0" distR="0" wp14:anchorId="4042B8EE" wp14:editId="5ABD4C1D">
            <wp:extent cx="4465320" cy="2923383"/>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70526" cy="2926791"/>
                    </a:xfrm>
                    <a:prstGeom prst="rect">
                      <a:avLst/>
                    </a:prstGeom>
                    <a:noFill/>
                  </pic:spPr>
                </pic:pic>
              </a:graphicData>
            </a:graphic>
          </wp:inline>
        </w:drawing>
      </w:r>
    </w:p>
    <w:p w:rsidR="0020109F" w:rsidRDefault="0020109F" w:rsidP="0020109F">
      <w:pPr>
        <w:pStyle w:val="Epgrafe"/>
        <w:rPr>
          <w:rFonts w:cs="Arial"/>
          <w:szCs w:val="18"/>
        </w:rPr>
      </w:pPr>
      <w:bookmarkStart w:id="27" w:name="_Toc23137184"/>
      <w:r>
        <w:t xml:space="preserve">Figura </w:t>
      </w:r>
      <w:r>
        <w:fldChar w:fldCharType="begin"/>
      </w:r>
      <w:r>
        <w:instrText xml:space="preserve"> SEQ Figura \* ARABIC </w:instrText>
      </w:r>
      <w:r>
        <w:fldChar w:fldCharType="separate"/>
      </w:r>
      <w:r w:rsidR="00855D9A">
        <w:rPr>
          <w:noProof/>
        </w:rPr>
        <w:t>1</w:t>
      </w:r>
      <w:r>
        <w:fldChar w:fldCharType="end"/>
      </w:r>
      <w:r>
        <w:t>. Flujo</w:t>
      </w:r>
      <w:r w:rsidRPr="00167A6D">
        <w:rPr>
          <w:rFonts w:cs="Arial"/>
          <w:szCs w:val="18"/>
        </w:rPr>
        <w:t xml:space="preserve"> del Proceso </w:t>
      </w:r>
      <w:r w:rsidR="007E5200">
        <w:rPr>
          <w:rFonts w:cs="Arial"/>
          <w:szCs w:val="18"/>
        </w:rPr>
        <w:t xml:space="preserve"> (fases y pasos) </w:t>
      </w:r>
      <w:r w:rsidRPr="00167A6D">
        <w:rPr>
          <w:rFonts w:cs="Arial"/>
          <w:szCs w:val="18"/>
        </w:rPr>
        <w:t xml:space="preserve">de </w:t>
      </w:r>
      <w:r>
        <w:rPr>
          <w:rFonts w:cs="Arial"/>
          <w:szCs w:val="18"/>
        </w:rPr>
        <w:t xml:space="preserve">Formulación e Implementación de la </w:t>
      </w:r>
      <w:r w:rsidRPr="00167A6D">
        <w:rPr>
          <w:rFonts w:cs="Arial"/>
          <w:szCs w:val="18"/>
        </w:rPr>
        <w:t>Ordenación Forestal Integral y Sostenible</w:t>
      </w:r>
      <w:bookmarkEnd w:id="27"/>
    </w:p>
    <w:p w:rsidR="00855D9A" w:rsidRDefault="00855D9A">
      <w:pPr>
        <w:jc w:val="left"/>
        <w:rPr>
          <w:b/>
          <w:bCs/>
          <w:caps/>
          <w:kern w:val="32"/>
          <w:szCs w:val="32"/>
          <w:lang w:val="es-CO"/>
          <w14:shadow w14:blurRad="50800" w14:dist="38100" w14:dir="2700000" w14:sx="100000" w14:sy="100000" w14:kx="0" w14:ky="0" w14:algn="tl">
            <w14:srgbClr w14:val="000000">
              <w14:alpha w14:val="60000"/>
            </w14:srgbClr>
          </w14:shadow>
        </w:rPr>
      </w:pPr>
      <w:r>
        <w:rPr>
          <w14:shadow w14:blurRad="50800" w14:dist="38100" w14:dir="2700000" w14:sx="100000" w14:sy="100000" w14:kx="0" w14:ky="0" w14:algn="tl">
            <w14:srgbClr w14:val="000000">
              <w14:alpha w14:val="60000"/>
            </w14:srgbClr>
          </w14:shadow>
        </w:rPr>
        <w:br w:type="page"/>
      </w:r>
    </w:p>
    <w:p w:rsidR="00F42194" w:rsidRPr="0024132B" w:rsidRDefault="00C468C5" w:rsidP="0020109F">
      <w:pPr>
        <w:pStyle w:val="Ttulo1"/>
        <w:rPr>
          <w14:shadow w14:blurRad="50800" w14:dist="38100" w14:dir="2700000" w14:sx="100000" w14:sy="100000" w14:kx="0" w14:ky="0" w14:algn="tl">
            <w14:srgbClr w14:val="000000">
              <w14:alpha w14:val="60000"/>
            </w14:srgbClr>
          </w14:shadow>
        </w:rPr>
      </w:pPr>
      <w:bookmarkStart w:id="28" w:name="_Toc23137172"/>
      <w:r>
        <w:rPr>
          <w14:shadow w14:blurRad="50800" w14:dist="38100" w14:dir="2700000" w14:sx="100000" w14:sy="100000" w14:kx="0" w14:ky="0" w14:algn="tl">
            <w14:srgbClr w14:val="000000">
              <w14:alpha w14:val="60000"/>
            </w14:srgbClr>
          </w14:shadow>
        </w:rPr>
        <w:lastRenderedPageBreak/>
        <w:t>12</w:t>
      </w:r>
      <w:r w:rsidR="0024132B" w:rsidRPr="0024132B">
        <w:rPr>
          <w14:shadow w14:blurRad="50800" w14:dist="38100" w14:dir="2700000" w14:sx="100000" w14:sy="100000" w14:kx="0" w14:ky="0" w14:algn="tl">
            <w14:srgbClr w14:val="000000">
              <w14:alpha w14:val="60000"/>
            </w14:srgbClr>
          </w14:shadow>
        </w:rPr>
        <w:t>.</w:t>
      </w:r>
      <w:r w:rsidR="0024132B">
        <w:rPr>
          <w14:shadow w14:blurRad="50800" w14:dist="38100" w14:dir="2700000" w14:sx="100000" w14:sy="100000" w14:kx="0" w14:ky="0" w14:algn="tl">
            <w14:srgbClr w14:val="000000">
              <w14:alpha w14:val="60000"/>
            </w14:srgbClr>
          </w14:shadow>
        </w:rPr>
        <w:t xml:space="preserve"> MARCO JERÁRQUICO PARA EL PGOF DE LA CDMB</w:t>
      </w:r>
      <w:bookmarkEnd w:id="28"/>
    </w:p>
    <w:p w:rsidR="005C34A6" w:rsidRPr="006C17CD" w:rsidRDefault="0024132B" w:rsidP="0020109F">
      <w:r w:rsidRPr="006C17CD">
        <w:t xml:space="preserve">El marco jerárquico de unidades </w:t>
      </w:r>
      <w:r w:rsidR="006C17CD" w:rsidRPr="006C17CD">
        <w:t xml:space="preserve">factible de aplicar </w:t>
      </w:r>
      <w:r w:rsidRPr="006C17CD">
        <w:t>en la construcción del PGOF está constituido por tres categorías:</w:t>
      </w:r>
    </w:p>
    <w:p w:rsidR="0024132B" w:rsidRPr="006C17CD" w:rsidRDefault="0024132B" w:rsidP="00446ECB">
      <w:pPr>
        <w:pStyle w:val="Prrafodelista"/>
        <w:numPr>
          <w:ilvl w:val="0"/>
          <w:numId w:val="41"/>
        </w:numPr>
      </w:pPr>
      <w:r w:rsidRPr="006C17CD">
        <w:t>La Unidad Mayo</w:t>
      </w:r>
      <w:r w:rsidR="0020109F">
        <w:t>r</w:t>
      </w:r>
      <w:r w:rsidRPr="006C17CD">
        <w:t xml:space="preserve"> de Ordenación Forestal</w:t>
      </w:r>
    </w:p>
    <w:p w:rsidR="0024132B" w:rsidRPr="006C17CD" w:rsidRDefault="0024132B" w:rsidP="00446ECB">
      <w:pPr>
        <w:pStyle w:val="Prrafodelista"/>
        <w:numPr>
          <w:ilvl w:val="0"/>
          <w:numId w:val="41"/>
        </w:numPr>
      </w:pPr>
      <w:r w:rsidRPr="006C17CD">
        <w:t>Las Unidades Administrativas de Ordenación Forestal</w:t>
      </w:r>
    </w:p>
    <w:p w:rsidR="006C17CD" w:rsidRPr="006C17CD" w:rsidRDefault="006C17CD" w:rsidP="00446ECB">
      <w:pPr>
        <w:pStyle w:val="Prrafodelista"/>
        <w:numPr>
          <w:ilvl w:val="0"/>
          <w:numId w:val="41"/>
        </w:numPr>
      </w:pPr>
      <w:r w:rsidRPr="006C17CD">
        <w:t>Las Macrounidades de Manejo Forestal</w:t>
      </w:r>
    </w:p>
    <w:p w:rsidR="005C34A6" w:rsidRPr="006C17CD" w:rsidRDefault="006C17CD" w:rsidP="0020109F">
      <w:r w:rsidRPr="006C17CD">
        <w:t>Pero para el caso del PGOF de la CDMB se empleará solamente las dos primeras de ellas.</w:t>
      </w:r>
    </w:p>
    <w:p w:rsidR="00105198" w:rsidRPr="0024132B" w:rsidRDefault="00C468C5" w:rsidP="0020109F">
      <w:pPr>
        <w:pStyle w:val="Ttulo2"/>
      </w:pPr>
      <w:bookmarkStart w:id="29" w:name="_Toc23137173"/>
      <w:r>
        <w:t>12</w:t>
      </w:r>
      <w:r w:rsidR="006C17CD">
        <w:t xml:space="preserve">.1 </w:t>
      </w:r>
      <w:r w:rsidR="00105198" w:rsidRPr="0024132B">
        <w:t>UNIDAD MAYOR DE ORDENACIÓN FORESTAL</w:t>
      </w:r>
      <w:bookmarkEnd w:id="29"/>
    </w:p>
    <w:p w:rsidR="00105198" w:rsidRPr="0024132B" w:rsidRDefault="00105198" w:rsidP="0020109F">
      <w:r w:rsidRPr="0024132B">
        <w:t>La Unidad Mayor de Ordenación Forestal (UMOF) es el área</w:t>
      </w:r>
      <w:r w:rsidR="006C17CD">
        <w:t xml:space="preserve"> geográfica objeto del </w:t>
      </w:r>
      <w:r w:rsidR="00C70930">
        <w:t>PGOF</w:t>
      </w:r>
      <w:r w:rsidR="006C17CD">
        <w:t xml:space="preserve">; que, en este caso </w:t>
      </w:r>
      <w:r w:rsidRPr="0024132B">
        <w:t>b</w:t>
      </w:r>
      <w:r w:rsidR="006C17CD">
        <w:t xml:space="preserve">corresponde a </w:t>
      </w:r>
      <w:r w:rsidRPr="0024132B">
        <w:t>la jurisdicción de la Autoridad Ambiental Regional</w:t>
      </w:r>
      <w:r w:rsidR="006C17CD">
        <w:t>, la CDMB</w:t>
      </w:r>
    </w:p>
    <w:p w:rsidR="00105198" w:rsidRPr="000A5864" w:rsidRDefault="00C468C5" w:rsidP="0020109F">
      <w:pPr>
        <w:pStyle w:val="Ttulo2"/>
      </w:pPr>
      <w:bookmarkStart w:id="30" w:name="_Toc23137174"/>
      <w:r>
        <w:t>12</w:t>
      </w:r>
      <w:r w:rsidR="006C17CD">
        <w:t>.2</w:t>
      </w:r>
      <w:r w:rsidR="007B1CC8">
        <w:t xml:space="preserve"> </w:t>
      </w:r>
      <w:r w:rsidR="00105198" w:rsidRPr="000A5864">
        <w:t>UNIDADES ADMINISTRATIVAS DE ORDENACIÓN FORESTAL</w:t>
      </w:r>
      <w:r w:rsidR="00105198" w:rsidRPr="000A5864">
        <w:tab/>
      </w:r>
      <w:r w:rsidR="00105198">
        <w:t xml:space="preserve"> - UAOF</w:t>
      </w:r>
      <w:bookmarkEnd w:id="30"/>
    </w:p>
    <w:p w:rsidR="00105198" w:rsidRDefault="007E334F" w:rsidP="0020109F">
      <w:r w:rsidRPr="007E334F">
        <w:t>Las Unidades Administrativas de Ordenación Forestal</w:t>
      </w:r>
      <w:r w:rsidR="007B1CC8">
        <w:t xml:space="preserve"> </w:t>
      </w:r>
      <w:r w:rsidR="002D5B80">
        <w:t xml:space="preserve">se construyen a partir de </w:t>
      </w:r>
      <w:r w:rsidRPr="007E334F">
        <w:t>Zonas Ambientales y Socioeconómicas Homogéneas</w:t>
      </w:r>
      <w:r w:rsidR="002D5B80">
        <w:t xml:space="preserve"> existentes al interior del área objeto de la ordenación forestal. La homogeneidad en referencia se da de acuerdo con las </w:t>
      </w:r>
      <w:r w:rsidRPr="007E334F">
        <w:t xml:space="preserve">condiciones florísticas, estructurales, silviculturales, de oferta ambiental y de intereses de la </w:t>
      </w:r>
      <w:r w:rsidR="006C17CD">
        <w:t>CDMB</w:t>
      </w:r>
      <w:r w:rsidRPr="007E334F">
        <w:t>, según sus objetivos de desarrollo institucional y regional, enmarcados en las condiciones socioculturales de las poblaciones relacionadas con la UMOF.</w:t>
      </w:r>
    </w:p>
    <w:p w:rsidR="00105198" w:rsidRDefault="00105198" w:rsidP="0020109F">
      <w:r>
        <w:t xml:space="preserve">La delimitación y categorización de cada UAOF se efectuará con base en el análisis integrado de los resultados de la línea base de información primaria y de la línea base de información secundaria generadas durante la etapa de Formulación del Plan de Ordenación Forestal; cada unidad administrativa de ordenación forestal tiene efectos vinculantes, una vez adoptado el </w:t>
      </w:r>
      <w:r w:rsidR="00C70930">
        <w:t>PGOF</w:t>
      </w:r>
      <w:r>
        <w:t xml:space="preserve"> por parte de la Autoridad Ambiental Regional, en cuanto a los objetivos, las actividades permitidas, actividades prohibidas y actividades restringidas que se fijen para ella en el capítulo de Régimen de Ordenación Forestal del </w:t>
      </w:r>
      <w:r w:rsidR="00C70930">
        <w:t>PGOF</w:t>
      </w:r>
      <w:r w:rsidR="0020109F">
        <w:t>.</w:t>
      </w:r>
    </w:p>
    <w:p w:rsidR="00105198" w:rsidRDefault="00105198" w:rsidP="0020109F">
      <w:r>
        <w:t>Los límites de una Unidad Administrativa de Ordenación Forestal pueden ser Arcifinios (naturales), tales como divisorias de aguas, cuencas hidrográficas, cuerpos de agua, ecosistemas, entre otros casos; o también pueden ser artificiales, como por ejemplo veredas, municipios o grupos de ellos, líneas imaginarias mediante coodenadas prestablecidas, entre otros ejemplos.</w:t>
      </w:r>
    </w:p>
    <w:p w:rsidR="00105198" w:rsidRPr="008B7EF3" w:rsidRDefault="00C468C5" w:rsidP="0020109F">
      <w:pPr>
        <w:pStyle w:val="Ttulo3"/>
      </w:pPr>
      <w:bookmarkStart w:id="31" w:name="_Toc23137175"/>
      <w:r>
        <w:t>12</w:t>
      </w:r>
      <w:r w:rsidR="006C17CD" w:rsidRPr="006C17CD">
        <w:t>.2</w:t>
      </w:r>
      <w:r w:rsidR="00105198" w:rsidRPr="006C17CD">
        <w:t>.</w:t>
      </w:r>
      <w:r w:rsidR="00105198" w:rsidRPr="008B7EF3">
        <w:t>1 Áreas Forestales</w:t>
      </w:r>
      <w:bookmarkEnd w:id="31"/>
    </w:p>
    <w:p w:rsidR="00105198" w:rsidRPr="000A5864" w:rsidRDefault="00105198" w:rsidP="0020109F">
      <w:r w:rsidRPr="000A5864">
        <w:t>Dentro de la U</w:t>
      </w:r>
      <w:r>
        <w:t>M</w:t>
      </w:r>
      <w:r w:rsidRPr="000A5864">
        <w:t>OF, y con base en lo dispuesto</w:t>
      </w:r>
      <w:r>
        <w:t xml:space="preserve"> en el Decreto Ley 2811 de 1974 y</w:t>
      </w:r>
      <w:r w:rsidRPr="000A5864">
        <w:t xml:space="preserve"> </w:t>
      </w:r>
      <w:r>
        <w:t xml:space="preserve">la Ley 1450 de 2011, la Autoridad Ambiental Regional esta facultada para </w:t>
      </w:r>
      <w:r w:rsidRPr="000A5864">
        <w:t>delimitar</w:t>
      </w:r>
      <w:r>
        <w:t xml:space="preserve"> </w:t>
      </w:r>
      <w:r w:rsidRPr="000A5864">
        <w:t>todas o algunas de las siguientes clases de Unidades Administrati</w:t>
      </w:r>
      <w:r>
        <w:t>vas de O</w:t>
      </w:r>
      <w:r w:rsidRPr="000A5864">
        <w:t>rdenación</w:t>
      </w:r>
      <w:r>
        <w:t xml:space="preserve"> Forestal</w:t>
      </w:r>
      <w:r w:rsidRPr="000A5864">
        <w:t>:</w:t>
      </w:r>
    </w:p>
    <w:p w:rsidR="00105198" w:rsidRPr="008B7EF3" w:rsidRDefault="00105198" w:rsidP="00446ECB">
      <w:pPr>
        <w:pStyle w:val="Prrafodelista"/>
        <w:numPr>
          <w:ilvl w:val="0"/>
          <w:numId w:val="42"/>
        </w:numPr>
      </w:pPr>
      <w:r w:rsidRPr="00CD1D6F">
        <w:rPr>
          <w:b/>
        </w:rPr>
        <w:t>Área Forestal Productora:</w:t>
      </w:r>
      <w:r w:rsidRPr="008B7EF3">
        <w:t xml:space="preserve"> Definida como: “</w:t>
      </w:r>
      <w:r w:rsidRPr="0020109F">
        <w:t>la zona que debe ser conservada permanentemente con bosques naturales o artificiales para obtener productos forestales para comercialización o consumo.</w:t>
      </w:r>
      <w:r w:rsidR="007B1CC8" w:rsidRPr="0020109F">
        <w:t xml:space="preserve"> </w:t>
      </w:r>
      <w:r w:rsidRPr="0020109F">
        <w:t>El área es de producción directa cuando la obtención de productos implique la desaparición temporal del bosque y su posterior recuperación. Es área de producción indirecta aquella en que se obtienen frutos o productos secundarios, sin implicar la desaparición del bosque”</w:t>
      </w:r>
      <w:r w:rsidRPr="008B7EF3">
        <w:t xml:space="preserve">. (Ley </w:t>
      </w:r>
      <w:r w:rsidR="00313238">
        <w:t>1450</w:t>
      </w:r>
      <w:r w:rsidRPr="008B7EF3">
        <w:t xml:space="preserve"> de </w:t>
      </w:r>
      <w:r w:rsidR="00313238">
        <w:t>2011</w:t>
      </w:r>
      <w:r w:rsidRPr="008B7EF3">
        <w:t>).</w:t>
      </w:r>
    </w:p>
    <w:p w:rsidR="00105198" w:rsidRPr="008B7EF3" w:rsidRDefault="00105198" w:rsidP="00446ECB">
      <w:pPr>
        <w:pStyle w:val="Prrafodelista"/>
        <w:numPr>
          <w:ilvl w:val="0"/>
          <w:numId w:val="42"/>
        </w:numPr>
      </w:pPr>
      <w:r w:rsidRPr="00CD1D6F">
        <w:rPr>
          <w:b/>
        </w:rPr>
        <w:t>Área Forestal Protectora</w:t>
      </w:r>
      <w:r w:rsidRPr="008B7EF3">
        <w:t>: “</w:t>
      </w:r>
      <w:r w:rsidRPr="0020109F">
        <w:t>Se entiende por área forestal protectora la zona que debe ser conservada permanentemente con bosques naturales o artificiales, para proteger estos mismos recursos u otros naturales renovables. En el área forestal protectora debe prevalecer el efecto protector y solo se permitirá la obtención de frutos secundarios del bosque.”</w:t>
      </w:r>
      <w:r w:rsidRPr="008B7EF3">
        <w:t xml:space="preserve"> </w:t>
      </w:r>
      <w:r w:rsidR="00313238" w:rsidRPr="008B7EF3">
        <w:t xml:space="preserve">(Ley </w:t>
      </w:r>
      <w:r w:rsidR="00313238">
        <w:t>1450</w:t>
      </w:r>
      <w:r w:rsidR="00313238" w:rsidRPr="008B7EF3">
        <w:t xml:space="preserve"> de </w:t>
      </w:r>
      <w:r w:rsidR="00313238">
        <w:t>2011</w:t>
      </w:r>
      <w:r w:rsidR="00313238" w:rsidRPr="008B7EF3">
        <w:t>).</w:t>
      </w:r>
    </w:p>
    <w:p w:rsidR="00105198" w:rsidRPr="008B7EF3" w:rsidRDefault="005260BA" w:rsidP="00CD1D6F">
      <w:pPr>
        <w:pStyle w:val="Ttulo3"/>
      </w:pPr>
      <w:bookmarkStart w:id="32" w:name="_Toc23137176"/>
      <w:r>
        <w:t>1</w:t>
      </w:r>
      <w:r w:rsidR="00C468C5">
        <w:t>2</w:t>
      </w:r>
      <w:r w:rsidR="006C17CD">
        <w:t>.2</w:t>
      </w:r>
      <w:r w:rsidR="00105198" w:rsidRPr="008B7EF3">
        <w:t>.2 Áreas Protegidas</w:t>
      </w:r>
      <w:bookmarkEnd w:id="32"/>
    </w:p>
    <w:p w:rsidR="00105198" w:rsidRDefault="00924C6E" w:rsidP="0020109F">
      <w:r>
        <w:t>Similar a como se anotó</w:t>
      </w:r>
      <w:r w:rsidR="00105198">
        <w:t xml:space="preserve"> para el caso anterior, d</w:t>
      </w:r>
      <w:r w:rsidR="00105198" w:rsidRPr="008B7EF3">
        <w:t xml:space="preserve">entro de la UMOF, y con base en lo dispuesto en el </w:t>
      </w:r>
      <w:r w:rsidRPr="00924C6E">
        <w:t>Decreto 1076 de 2015</w:t>
      </w:r>
      <w:r>
        <w:t xml:space="preserve">, </w:t>
      </w:r>
      <w:r w:rsidR="00105198" w:rsidRPr="008B7EF3">
        <w:t>la A</w:t>
      </w:r>
      <w:r w:rsidR="00520F19">
        <w:t>utoridad Ambiental Regional está</w:t>
      </w:r>
      <w:r w:rsidR="00105198" w:rsidRPr="008B7EF3">
        <w:t xml:space="preserve"> facultada para delimitar todas o algunas de las siguientes clases de Unidades Administrativas de Ordenación Forestal:</w:t>
      </w:r>
    </w:p>
    <w:p w:rsidR="00105198" w:rsidRPr="00CD1D6F" w:rsidRDefault="00105198" w:rsidP="00446ECB">
      <w:pPr>
        <w:pStyle w:val="Prrafodelista"/>
        <w:numPr>
          <w:ilvl w:val="0"/>
          <w:numId w:val="43"/>
        </w:numPr>
        <w:rPr>
          <w:rFonts w:eastAsia="Calibri"/>
          <w:b/>
          <w:lang w:val="es-ES_tradnl" w:eastAsia="en-US"/>
        </w:rPr>
      </w:pPr>
      <w:r w:rsidRPr="00CD1D6F">
        <w:rPr>
          <w:rFonts w:eastAsia="Calibri"/>
          <w:b/>
          <w:lang w:val="es-ES_tradnl" w:eastAsia="en-US"/>
        </w:rPr>
        <w:t xml:space="preserve">Reserva Forestal Protectora Regional: </w:t>
      </w:r>
      <w:r w:rsidRPr="00CD1D6F">
        <w:rPr>
          <w:rFonts w:eastAsia="Calibri"/>
          <w:lang w:val="es-ES_tradnl" w:eastAsia="en-US"/>
        </w:rPr>
        <w:t>“</w:t>
      </w:r>
      <w:r w:rsidRPr="00CD1D6F">
        <w:rPr>
          <w:rFonts w:eastAsia="Calibri"/>
          <w:i/>
          <w:lang w:val="es-ES_tradnl" w:eastAsia="en-US"/>
        </w:rPr>
        <w:t xml:space="preserve">Espacio geográfico en el que los ecosistemas de bosque mantienen su función, aunque su estructura y composición haya sido modificada y los valores naturales asociados se ponen al alcance de la población humana para destinarlos a su preservación, uso sostenible, restauración, conocimiento y disfrute. Esta zona de propiedad pública o privada se reserva </w:t>
      </w:r>
      <w:r w:rsidRPr="00CD1D6F">
        <w:rPr>
          <w:rFonts w:eastAsia="Calibri"/>
          <w:i/>
          <w:lang w:val="es-ES_tradnl" w:eastAsia="en-US"/>
        </w:rPr>
        <w:lastRenderedPageBreak/>
        <w:t>para destinarla al establecimiento o mantenimiento y utilización sostenible de los bosques y demás coberturas vegetales naturales. La reserva, delimitación, alinderación, declaración y sustracción de las Reservas Forestales que alberguen ecosistemas estratégicos en la escala nacional, corresponde al Ministerio de Ambiente, Vivienda y Desarrollo Territorial, en cuyo caso se denominarán Reservas Forestales Protectoras Nacionales. La administración corresponde a las Corporaciones Autónomas Regionales de acuerdo con los lineamientos establecidos por el Ministerio. La reserva, delimitación, alinderación, declaración, administración y sustracción de las Reservas Forestales que alberguen ecosistemas estratégicos en la escala regional, corresponde a las Corporaciones Autónomas Regionales, en cuyo caso se denominarán Reservas Forestales Protectoras Regionales</w:t>
      </w:r>
      <w:r w:rsidRPr="00CD1D6F">
        <w:rPr>
          <w:rFonts w:eastAsia="Calibri"/>
          <w:lang w:val="es-ES_tradnl" w:eastAsia="en-US"/>
        </w:rPr>
        <w:t xml:space="preserve">”. </w:t>
      </w:r>
    </w:p>
    <w:p w:rsidR="00105198" w:rsidRPr="00CD1D6F" w:rsidRDefault="00105198" w:rsidP="00446ECB">
      <w:pPr>
        <w:pStyle w:val="Prrafodelista"/>
        <w:numPr>
          <w:ilvl w:val="0"/>
          <w:numId w:val="43"/>
        </w:numPr>
        <w:rPr>
          <w:rFonts w:eastAsia="Calibri"/>
          <w:b/>
          <w:lang w:val="es-ES_tradnl" w:eastAsia="en-US"/>
        </w:rPr>
      </w:pPr>
      <w:r w:rsidRPr="00CD1D6F">
        <w:rPr>
          <w:rFonts w:eastAsia="Calibri"/>
          <w:b/>
          <w:lang w:val="es-ES_tradnl" w:eastAsia="en-US"/>
        </w:rPr>
        <w:t>Parque Natural Regional: “</w:t>
      </w:r>
      <w:r w:rsidRPr="00CD1D6F">
        <w:rPr>
          <w:rFonts w:eastAsia="Calibri"/>
          <w:i/>
          <w:lang w:val="es-ES_tradnl" w:eastAsia="en-US"/>
        </w:rPr>
        <w:t>Espacio geográfico en el que paisajes y ecosistemas estratégicos en la escala regional, mantienen la estructura, composición y función, así como los procesos ecológicos y evolutivos que los sustentan y cuyos valores naturales y culturales asociados se ponen al alcance de la población humana para destinarlas a su preservación, restauración, conocimiento y disfrute. La reserva, delimitación, alinderación, declaración y administración de los Parques Naturales Regionales corresponde a las Corporaciones Autónomas Regionales, a través de sus Consejos Directivos</w:t>
      </w:r>
      <w:r w:rsidRPr="00CD1D6F">
        <w:rPr>
          <w:rFonts w:eastAsia="Calibri"/>
          <w:lang w:val="es-ES_tradnl" w:eastAsia="en-US"/>
        </w:rPr>
        <w:t xml:space="preserve">”. </w:t>
      </w:r>
    </w:p>
    <w:p w:rsidR="00105198" w:rsidRPr="00CD1D6F" w:rsidRDefault="00105198" w:rsidP="00446ECB">
      <w:pPr>
        <w:pStyle w:val="Prrafodelista"/>
        <w:numPr>
          <w:ilvl w:val="0"/>
          <w:numId w:val="43"/>
        </w:numPr>
        <w:rPr>
          <w:rFonts w:eastAsia="Calibri"/>
          <w:lang w:val="es-ES_tradnl" w:eastAsia="en-US"/>
        </w:rPr>
      </w:pPr>
      <w:r w:rsidRPr="00CD1D6F">
        <w:rPr>
          <w:rFonts w:eastAsia="Calibri"/>
          <w:b/>
          <w:lang w:val="es-ES_tradnl" w:eastAsia="en-US"/>
        </w:rPr>
        <w:t>Distrito de Conservación de Suelos: “</w:t>
      </w:r>
      <w:r w:rsidRPr="00CD1D6F">
        <w:rPr>
          <w:rFonts w:eastAsia="Calibri"/>
          <w:i/>
          <w:lang w:val="es-ES_tradnl" w:eastAsia="en-US"/>
        </w:rPr>
        <w:t>Espacio geográfico cuyos ecosistemas estratégicos en la escala regional, mantienen su función, aunque su estructura y composición hayan sido modificadas y aportan esencialmente a la generación de bienes y servicios ambientales, cuyos valores naturales y culturales asociados se ponen al alcance de la población humana para destinarlos a su restauración, uso sostenible, preservación, conocimiento y disfrute. Esta área se delimita para someterla a un manejo especial orientado a la recuperación de suelos alterados o degradados o la prevención de fenómenos que causen alteración o degradación en áreas especialmente vulnerables por sus condiciones físicas o climáticas o por la clase de utilidad que en ellas se desarrolla. La reserva, delimitación, alinderación, declaración, administración y sustracción corresponde a las Corporaciones Autónomas Regionales, mediante acuerdo del respectivo Consejo Directivo</w:t>
      </w:r>
      <w:r w:rsidRPr="00CD1D6F">
        <w:rPr>
          <w:rFonts w:eastAsia="Calibri"/>
          <w:lang w:val="es-ES_tradnl" w:eastAsia="en-US"/>
        </w:rPr>
        <w:t>”</w:t>
      </w:r>
      <w:r w:rsidR="00924C6E" w:rsidRPr="00CD1D6F">
        <w:rPr>
          <w:rFonts w:eastAsia="Calibri"/>
          <w:lang w:val="es-ES_tradnl" w:eastAsia="en-US"/>
        </w:rPr>
        <w:t>.</w:t>
      </w:r>
    </w:p>
    <w:p w:rsidR="00105198" w:rsidRPr="00CD1D6F" w:rsidRDefault="00105198" w:rsidP="00446ECB">
      <w:pPr>
        <w:pStyle w:val="Prrafodelista"/>
        <w:numPr>
          <w:ilvl w:val="0"/>
          <w:numId w:val="43"/>
        </w:numPr>
        <w:rPr>
          <w:rFonts w:eastAsia="Calibri"/>
          <w:b/>
          <w:lang w:eastAsia="en-US"/>
        </w:rPr>
      </w:pPr>
      <w:r w:rsidRPr="00CD1D6F">
        <w:rPr>
          <w:rFonts w:eastAsia="Calibri"/>
          <w:b/>
          <w:lang w:val="es-ES_tradnl" w:eastAsia="en-US"/>
        </w:rPr>
        <w:t xml:space="preserve">Distrito Regional de Manejo Integrado: </w:t>
      </w:r>
      <w:r w:rsidRPr="00CD1D6F">
        <w:rPr>
          <w:rFonts w:eastAsia="Calibri"/>
          <w:lang w:val="es-ES_tradnl" w:eastAsia="en-US"/>
        </w:rPr>
        <w:t>“</w:t>
      </w:r>
      <w:r w:rsidRPr="00CD1D6F">
        <w:rPr>
          <w:rFonts w:eastAsia="Calibri"/>
          <w:i/>
          <w:lang w:val="es-CO" w:eastAsia="en-US"/>
        </w:rPr>
        <w:t>Espacio geográfico, en el que los paisajes y ecosistemas mantienen su composición y función, aunque su estructura haya sido modificada y cuyos valores naturales y culturales asociados se ponen al alcance de la población humana para destinarlos a su uso sostenible, preservación, restauración, conocimiento y disfrute. De conformidad con lo dispuesto en el artículo 6° numerales 10 y 11 del Decreto-ley 216 de 2003, la declaración que comprende la reserva y administración, así como la delimitación, alinderación, y sustracción de los Distritos de Manejo Integrado que alberguen paisajes y ecosistemas estratégicos en la escala nacional, corresponde al Ministerio de Ambiente, Vivienda y Desarrollo Territorial, en cuyo caso se denominarán Distritos Nacionales de Manejo Integrado. La administración podrá ser ejercida a través de la Unidad Administrativa Especial del Sistema de Parques Nacionales o mediante delegación en otra autoridad ambiental. La reserva, delimitación, alinderación, declaración, administración y sustracción de los Distritos de Manejo Integrado que alberguen paisajes y ecosistemas estratégicos en la escala regional, corresponde a las Corporaciones Autónomas Regionales, a través de sus Consejos Directivos, en cuyo caso se denominarán Distritos Regionales de Manejo Integrado</w:t>
      </w:r>
      <w:r w:rsidR="00CD1D6F">
        <w:rPr>
          <w:rFonts w:eastAsia="Calibri"/>
          <w:i/>
          <w:lang w:val="es-CO" w:eastAsia="en-US"/>
        </w:rPr>
        <w:t>”</w:t>
      </w:r>
      <w:r w:rsidRPr="00CD1D6F">
        <w:rPr>
          <w:rFonts w:eastAsia="Calibri"/>
          <w:lang w:val="es-CO" w:eastAsia="en-US"/>
        </w:rPr>
        <w:t xml:space="preserve">. </w:t>
      </w:r>
    </w:p>
    <w:p w:rsidR="00105198" w:rsidRPr="00AE3C47" w:rsidRDefault="00105198" w:rsidP="00446ECB">
      <w:pPr>
        <w:pStyle w:val="Prrafodelista"/>
        <w:numPr>
          <w:ilvl w:val="0"/>
          <w:numId w:val="43"/>
        </w:numPr>
      </w:pPr>
      <w:r w:rsidRPr="00CD1D6F">
        <w:rPr>
          <w:rFonts w:eastAsia="Calibri"/>
          <w:b/>
          <w:lang w:eastAsia="en-US"/>
        </w:rPr>
        <w:t xml:space="preserve">Área de Recreación: </w:t>
      </w:r>
      <w:r w:rsidRPr="00CD1D6F">
        <w:rPr>
          <w:rFonts w:eastAsia="Calibri"/>
          <w:lang w:eastAsia="en-US"/>
        </w:rPr>
        <w:t>“</w:t>
      </w:r>
      <w:r w:rsidRPr="00CD1D6F">
        <w:rPr>
          <w:rFonts w:eastAsia="Calibri"/>
          <w:i/>
          <w:lang w:eastAsia="en-US"/>
        </w:rPr>
        <w:t>Espacio geográfico en los que los paisajes y ecosistemas estratégicos en la escala regional, mantienen la función, aunque su estructura y composición hayan sido modificadas, con un potencial significativo de recuperación y cuyos valores naturales y culturales asociados, se ponen al alcance de la población humana para destinarlos a su restauración, uso sostenible, conocimiento y disfrute. La reserva, delimitación, alinderación, declaración, administración y sustracción, corresponde a las Corporaciones Autónomas Regionales a través de sus Consejos Directivos</w:t>
      </w:r>
      <w:r w:rsidRPr="00CD1D6F">
        <w:rPr>
          <w:rFonts w:eastAsia="Calibri"/>
          <w:lang w:eastAsia="en-US"/>
        </w:rPr>
        <w:t xml:space="preserve">”. </w:t>
      </w:r>
    </w:p>
    <w:p w:rsidR="00105198" w:rsidRDefault="00C75038" w:rsidP="00CD1D6F">
      <w:r>
        <w:t xml:space="preserve">Es necesario tener en cuenta que una vez que sea realizada la categorización de alguna de las áreas protegidas antes mencionadas, como parte de la zonificación final y de la formulación del respectivo </w:t>
      </w:r>
      <w:r w:rsidR="00C70930">
        <w:t>PGOF</w:t>
      </w:r>
      <w:r>
        <w:t>, l</w:t>
      </w:r>
      <w:r w:rsidR="00680E40">
        <w:t xml:space="preserve">a </w:t>
      </w:r>
      <w:r w:rsidR="00680E40" w:rsidRPr="00E86389">
        <w:t>Corporación Regional</w:t>
      </w:r>
      <w:r w:rsidR="00680E40">
        <w:t xml:space="preserve"> </w:t>
      </w:r>
      <w:r w:rsidR="00105198" w:rsidRPr="00E86389">
        <w:t>deberá observar y seguir la Ruta</w:t>
      </w:r>
      <w:r w:rsidR="00105198">
        <w:t xml:space="preserve"> establecid</w:t>
      </w:r>
      <w:r w:rsidR="00124438">
        <w:t>a por</w:t>
      </w:r>
      <w:r w:rsidR="00105198">
        <w:t xml:space="preserve"> el MADS</w:t>
      </w:r>
      <w:r w:rsidR="00874DD8">
        <w:t xml:space="preserve"> </w:t>
      </w:r>
      <w:r w:rsidR="00874DD8" w:rsidRPr="00874DD8">
        <w:t xml:space="preserve">a través de la </w:t>
      </w:r>
      <w:r w:rsidR="00874DD8" w:rsidRPr="00E22B6B">
        <w:t>Resolución 1125 de 2015</w:t>
      </w:r>
      <w:r w:rsidR="00680E40">
        <w:t xml:space="preserve">, </w:t>
      </w:r>
      <w:r w:rsidR="00124438">
        <w:t xml:space="preserve">o la norma que la sustituya, </w:t>
      </w:r>
      <w:r w:rsidR="00680E40">
        <w:t xml:space="preserve">para </w:t>
      </w:r>
      <w:r>
        <w:t xml:space="preserve">su posterior </w:t>
      </w:r>
      <w:r w:rsidR="00680E40">
        <w:t>declaración</w:t>
      </w:r>
      <w:r>
        <w:t xml:space="preserve"> como tal</w:t>
      </w:r>
      <w:r w:rsidR="00874DD8" w:rsidRPr="00874DD8">
        <w:t>.</w:t>
      </w:r>
    </w:p>
    <w:p w:rsidR="00EA5F02" w:rsidRPr="00680E40" w:rsidRDefault="00105198" w:rsidP="00CD1D6F">
      <w:r w:rsidRPr="00680E40">
        <w:lastRenderedPageBreak/>
        <w:t xml:space="preserve">Por otra parte, en la formulación del </w:t>
      </w:r>
      <w:r w:rsidR="00C70930">
        <w:t>PGOF</w:t>
      </w:r>
      <w:r w:rsidRPr="00680E40">
        <w:t xml:space="preserve"> la Au</w:t>
      </w:r>
      <w:r w:rsidR="00680E40" w:rsidRPr="00680E40">
        <w:t xml:space="preserve">toridad Ambiental Regional podría </w:t>
      </w:r>
      <w:r w:rsidRPr="00680E40">
        <w:t>proponer al Ministerio de Ambiente y Desarrollo Sostenible o a la Unidad Administrativa Especial del Sistema de Parques Nacionales Naturales, la delimitación, la categorización</w:t>
      </w:r>
      <w:r w:rsidR="00E51C1B" w:rsidRPr="00680E40">
        <w:t>, la realinderación o</w:t>
      </w:r>
      <w:r w:rsidRPr="00680E40">
        <w:t>, dado el caso,</w:t>
      </w:r>
      <w:r w:rsidR="007B1CC8">
        <w:t xml:space="preserve"> </w:t>
      </w:r>
      <w:r w:rsidRPr="00680E40">
        <w:t xml:space="preserve">la </w:t>
      </w:r>
      <w:r w:rsidR="00680E40" w:rsidRPr="00680E40">
        <w:t xml:space="preserve">creación de áreas protectoras tales como </w:t>
      </w:r>
      <w:r w:rsidRPr="00680E40">
        <w:t>Áreas</w:t>
      </w:r>
      <w:r w:rsidR="007B1CC8">
        <w:t xml:space="preserve"> </w:t>
      </w:r>
      <w:r w:rsidRPr="00680E40">
        <w:t xml:space="preserve">Forestales Protectoras Nacionales, Distritos de Manejo Integrado Nacionales o áreas del Sistema de Parques Nacionales Naturales, según su competencia. </w:t>
      </w:r>
      <w:r w:rsidR="00680E40">
        <w:t xml:space="preserve">Las propuestas del caso no formarán parte integral del respectivo </w:t>
      </w:r>
      <w:r w:rsidR="00C70930">
        <w:t>PGOF</w:t>
      </w:r>
      <w:r w:rsidR="00680E40">
        <w:t xml:space="preserve">, sino que se realizarán en procesos administrativos por separado del mismo. </w:t>
      </w:r>
    </w:p>
    <w:p w:rsidR="00350042" w:rsidRDefault="00350042" w:rsidP="00CD1D6F">
      <w:r w:rsidRPr="00F00D9A">
        <w:t>Del mismo modo, cada Autoridad Ambiental Regional</w:t>
      </w:r>
      <w:r w:rsidR="004A2888">
        <w:t xml:space="preserve"> adelantará</w:t>
      </w:r>
      <w:r w:rsidR="00F00D9A" w:rsidRPr="00F00D9A">
        <w:t xml:space="preserve"> </w:t>
      </w:r>
      <w:r w:rsidRPr="00F00D9A">
        <w:t>con la</w:t>
      </w:r>
      <w:r w:rsidR="00E51C1B" w:rsidRPr="00F00D9A">
        <w:t>s</w:t>
      </w:r>
      <w:r w:rsidRPr="00F00D9A">
        <w:t xml:space="preserve"> Autoridad</w:t>
      </w:r>
      <w:r w:rsidR="00E51C1B" w:rsidRPr="00F00D9A">
        <w:t>es</w:t>
      </w:r>
      <w:r w:rsidRPr="00F00D9A">
        <w:t xml:space="preserve"> Ambiental</w:t>
      </w:r>
      <w:r w:rsidR="00E51C1B" w:rsidRPr="00F00D9A">
        <w:t>es</w:t>
      </w:r>
      <w:r w:rsidRPr="00F00D9A">
        <w:t xml:space="preserve"> Regional</w:t>
      </w:r>
      <w:r w:rsidR="00E51C1B" w:rsidRPr="00F00D9A">
        <w:t>es</w:t>
      </w:r>
      <w:r w:rsidRPr="00F00D9A">
        <w:t xml:space="preserve"> circunvecinas</w:t>
      </w:r>
      <w:r w:rsidR="00F00D9A" w:rsidRPr="00F00D9A">
        <w:t xml:space="preserve"> la armonización tendiente a</w:t>
      </w:r>
      <w:r w:rsidR="007B1CC8">
        <w:t xml:space="preserve"> </w:t>
      </w:r>
      <w:r w:rsidRPr="00F00D9A">
        <w:t xml:space="preserve">homologar y uniformizar las categorías de Unidades Administrativas de Ordenación Forestal en zonas colindantes y que poseen características </w:t>
      </w:r>
      <w:r w:rsidR="00F00D9A">
        <w:t xml:space="preserve">ambientales y socioeconómicas </w:t>
      </w:r>
      <w:r w:rsidRPr="00F00D9A">
        <w:t>similares.</w:t>
      </w:r>
    </w:p>
    <w:p w:rsidR="00BA7BEC" w:rsidRPr="007F5166" w:rsidRDefault="00BA7BEC" w:rsidP="009671AC">
      <w:pPr>
        <w:ind w:left="993" w:hanging="993"/>
        <w:rPr>
          <w:rFonts w:cs="Arial"/>
          <w:b/>
          <w:sz w:val="16"/>
          <w:szCs w:val="16"/>
        </w:rPr>
      </w:pPr>
    </w:p>
    <w:p w:rsidR="009847C3" w:rsidRPr="00333FE1" w:rsidRDefault="009847C3" w:rsidP="00446ECB">
      <w:pPr>
        <w:pStyle w:val="NormalWeb"/>
        <w:numPr>
          <w:ilvl w:val="0"/>
          <w:numId w:val="13"/>
        </w:numPr>
        <w:tabs>
          <w:tab w:val="left" w:pos="4536"/>
        </w:tabs>
        <w:spacing w:before="0" w:beforeAutospacing="0" w:after="0" w:afterAutospacing="0"/>
        <w:ind w:left="426" w:hanging="426"/>
        <w:jc w:val="left"/>
        <w:textAlignment w:val="baseline"/>
        <w:rPr>
          <w:rFonts w:cs="Arial"/>
          <w:szCs w:val="22"/>
        </w:rPr>
      </w:pPr>
      <w:r w:rsidRPr="00182065">
        <w:rPr>
          <w:rFonts w:cs="Arial"/>
          <w:b/>
          <w:szCs w:val="22"/>
        </w:rPr>
        <w:t>Relación de</w:t>
      </w:r>
      <w:r>
        <w:rPr>
          <w:rFonts w:cs="Arial"/>
          <w:b/>
          <w:szCs w:val="22"/>
        </w:rPr>
        <w:t xml:space="preserve"> </w:t>
      </w:r>
      <w:r w:rsidRPr="00182065">
        <w:rPr>
          <w:rFonts w:cs="Arial"/>
          <w:b/>
          <w:szCs w:val="22"/>
        </w:rPr>
        <w:t>l</w:t>
      </w:r>
      <w:r>
        <w:rPr>
          <w:rFonts w:cs="Arial"/>
          <w:b/>
          <w:szCs w:val="22"/>
        </w:rPr>
        <w:t>a</w:t>
      </w:r>
      <w:r w:rsidRPr="00182065">
        <w:rPr>
          <w:rFonts w:cs="Arial"/>
          <w:b/>
          <w:szCs w:val="22"/>
        </w:rPr>
        <w:t xml:space="preserve"> </w:t>
      </w:r>
      <w:r>
        <w:rPr>
          <w:rFonts w:cs="Arial"/>
          <w:b/>
          <w:szCs w:val="22"/>
        </w:rPr>
        <w:t>producción</w:t>
      </w:r>
      <w:r w:rsidRPr="00182065">
        <w:rPr>
          <w:rFonts w:cs="Arial"/>
          <w:b/>
          <w:szCs w:val="22"/>
        </w:rPr>
        <w:t xml:space="preserve"> forestal con </w:t>
      </w:r>
      <w:r>
        <w:rPr>
          <w:rFonts w:cs="Arial"/>
          <w:b/>
          <w:szCs w:val="22"/>
        </w:rPr>
        <w:t>la ordenación forestal</w:t>
      </w:r>
    </w:p>
    <w:p w:rsidR="009847C3" w:rsidRDefault="009847C3" w:rsidP="009847C3">
      <w:pPr>
        <w:rPr>
          <w:rFonts w:cs="Arial"/>
          <w:szCs w:val="22"/>
        </w:rPr>
      </w:pPr>
      <w:r>
        <w:rPr>
          <w:rFonts w:cs="Arial"/>
          <w:szCs w:val="22"/>
        </w:rPr>
        <w:t xml:space="preserve">Las </w:t>
      </w:r>
      <w:r w:rsidRPr="00A364A6">
        <w:rPr>
          <w:rFonts w:cs="Arial"/>
          <w:szCs w:val="22"/>
        </w:rPr>
        <w:t>MacroUnidad</w:t>
      </w:r>
      <w:r>
        <w:rPr>
          <w:rFonts w:cs="Arial"/>
          <w:szCs w:val="22"/>
        </w:rPr>
        <w:t>es</w:t>
      </w:r>
      <w:r w:rsidRPr="00A364A6">
        <w:rPr>
          <w:rFonts w:cs="Arial"/>
          <w:szCs w:val="22"/>
        </w:rPr>
        <w:t xml:space="preserve"> de Manejo para el Aprovechamiento de Productos Maderables</w:t>
      </w:r>
      <w:r>
        <w:rPr>
          <w:rFonts w:cs="Arial"/>
          <w:szCs w:val="22"/>
        </w:rPr>
        <w:t xml:space="preserve">, las </w:t>
      </w:r>
      <w:r w:rsidRPr="00A364A6">
        <w:rPr>
          <w:rFonts w:cs="Arial"/>
          <w:szCs w:val="22"/>
        </w:rPr>
        <w:t>MacroUnidad</w:t>
      </w:r>
      <w:r>
        <w:rPr>
          <w:rFonts w:cs="Arial"/>
          <w:szCs w:val="22"/>
        </w:rPr>
        <w:t>es</w:t>
      </w:r>
      <w:r w:rsidRPr="00A364A6">
        <w:rPr>
          <w:rFonts w:cs="Arial"/>
          <w:szCs w:val="22"/>
        </w:rPr>
        <w:t xml:space="preserve"> para el Aprovechamiento de Productos No Maderables </w:t>
      </w:r>
      <w:r>
        <w:rPr>
          <w:rFonts w:cs="Arial"/>
          <w:szCs w:val="22"/>
        </w:rPr>
        <w:t xml:space="preserve">y las </w:t>
      </w:r>
      <w:r w:rsidRPr="00A364A6">
        <w:rPr>
          <w:rFonts w:cs="Arial"/>
          <w:szCs w:val="22"/>
        </w:rPr>
        <w:t>MacroUnidad</w:t>
      </w:r>
      <w:r>
        <w:rPr>
          <w:rFonts w:cs="Arial"/>
          <w:szCs w:val="22"/>
        </w:rPr>
        <w:t>es</w:t>
      </w:r>
      <w:r w:rsidRPr="00A364A6">
        <w:rPr>
          <w:rFonts w:cs="Arial"/>
          <w:szCs w:val="22"/>
        </w:rPr>
        <w:t xml:space="preserve"> de Manejo para el Aprovechamiento de Productos Maderables y de Productos No Maderables</w:t>
      </w:r>
      <w:r>
        <w:rPr>
          <w:rFonts w:cs="Arial"/>
          <w:szCs w:val="22"/>
        </w:rPr>
        <w:t xml:space="preserve"> podrán estar localizadas tanto en tierras de propiedad pública como en tierras de propiedad privada. En ellas, los usuarios realizarán aprovechamiento forestal, previo el cumplimiento de la normativa existente para tal fin y siguiendo los lineamientos y directrices fijados por la Autoridad Ambiental Regional para la respectiva MUMF en la cual se pretenda adelantar el aprovechamiento del bosque.</w:t>
      </w:r>
      <w:r w:rsidR="007B1CC8">
        <w:rPr>
          <w:rFonts w:cs="Arial"/>
          <w:szCs w:val="22"/>
        </w:rPr>
        <w:t xml:space="preserve"> </w:t>
      </w:r>
    </w:p>
    <w:p w:rsidR="009847C3" w:rsidRDefault="009847C3" w:rsidP="009847C3">
      <w:pPr>
        <w:rPr>
          <w:rFonts w:cs="Arial"/>
          <w:szCs w:val="22"/>
        </w:rPr>
      </w:pPr>
      <w:r>
        <w:rPr>
          <w:rFonts w:cs="Arial"/>
          <w:szCs w:val="22"/>
        </w:rPr>
        <w:t>A su vez, una Unidad de Manejo Forestal (UMF) equivaldrá al área de bosque objeto de aprovechamiento forestal comercial por parte de un usuario dado; para acceder a este el usuario elaborará y presentará a la respectiva Corporación Regional un Plan de Manejo Forestal (PMF) que contiene los datos del Inventario Forestal Estadístico, el Plan de Cosecha, el Plan Silvicultural, las Consideraciones Ambientales y la Justificación Social y Económica del A</w:t>
      </w:r>
      <w:r>
        <w:rPr>
          <w:rFonts w:cs="Arial"/>
          <w:szCs w:val="22"/>
        </w:rPr>
        <w:softHyphen/>
        <w:t>provechamiento. Lo anterior significa que dentro de una macrounidad de manejo forestal para aprovechamiento de productos forestales podrá haber una o varias Unidades de Manejo Forestal.</w:t>
      </w:r>
    </w:p>
    <w:p w:rsidR="009847C3" w:rsidRDefault="009847C3" w:rsidP="009847C3">
      <w:pPr>
        <w:rPr>
          <w:rFonts w:cs="Arial"/>
          <w:szCs w:val="22"/>
        </w:rPr>
      </w:pPr>
      <w:r>
        <w:rPr>
          <w:rFonts w:cs="Arial"/>
          <w:szCs w:val="22"/>
        </w:rPr>
        <w:t>Las características del PMF estará supeditado a los lineamientos y a</w:t>
      </w:r>
      <w:r w:rsidR="007B1CC8">
        <w:rPr>
          <w:rFonts w:cs="Arial"/>
          <w:szCs w:val="22"/>
        </w:rPr>
        <w:t xml:space="preserve"> </w:t>
      </w:r>
      <w:r>
        <w:rPr>
          <w:rFonts w:cs="Arial"/>
          <w:szCs w:val="22"/>
        </w:rPr>
        <w:t xml:space="preserve">la línea base de información de la MacroUnidad de Manejo caracterizada y definida por la Autoridad Ambiental Regional. Por ejemplo, si un usuario presenta a la Autoridad Ambiental Regional una solicitud de aprovechamiento forestal maderero, esta deberá verificar y conceptuar que el bosque objeto de solicitud esté incluido en una MacroUnidad de Manejo para Aprovechamiento de Maderas; o, aunque el bosque objeto de dicha solicitud sí esté en MacroUnidad de Manejo para Aprovechamiento de Maderas, la </w:t>
      </w:r>
      <w:r w:rsidRPr="008D5FA5">
        <w:rPr>
          <w:rFonts w:cs="Arial"/>
          <w:szCs w:val="22"/>
        </w:rPr>
        <w:t>Autoridad Ambiental Regional deberá verificar</w:t>
      </w:r>
      <w:r>
        <w:rPr>
          <w:rFonts w:cs="Arial"/>
          <w:szCs w:val="22"/>
        </w:rPr>
        <w:t xml:space="preserve"> que las especies solicitadas sí se hallen en dicha unidad y que los volúmenes solicitados concuerden con la Posibilidad establecida en el </w:t>
      </w:r>
      <w:r w:rsidR="00C70930">
        <w:rPr>
          <w:rFonts w:cs="Arial"/>
          <w:szCs w:val="22"/>
        </w:rPr>
        <w:t>PGOF</w:t>
      </w:r>
      <w:r>
        <w:rPr>
          <w:rFonts w:cs="Arial"/>
          <w:szCs w:val="22"/>
        </w:rPr>
        <w:t>, como resultado de los inventarios de vegetación realizados para la formulación del mismo.</w:t>
      </w:r>
    </w:p>
    <w:p w:rsidR="00C468C5" w:rsidRDefault="00C468C5" w:rsidP="00C468C5">
      <w:pPr>
        <w:rPr>
          <w:rFonts w:cs="Arial"/>
          <w:szCs w:val="22"/>
        </w:rPr>
      </w:pPr>
      <w:r>
        <w:rPr>
          <w:rFonts w:cs="Arial"/>
          <w:szCs w:val="22"/>
        </w:rPr>
        <w:t xml:space="preserve">Otro caso, entre muchos de factible ocurrencia, estaría relacionado con la solicitud de aprovechamiento de especies vegetales que hayan sido categorizadas en el </w:t>
      </w:r>
      <w:r w:rsidR="00C70930">
        <w:rPr>
          <w:rFonts w:cs="Arial"/>
          <w:szCs w:val="22"/>
        </w:rPr>
        <w:t>PGOF</w:t>
      </w:r>
      <w:r>
        <w:rPr>
          <w:rFonts w:cs="Arial"/>
          <w:szCs w:val="22"/>
        </w:rPr>
        <w:t xml:space="preserve"> como raras, endémicas o en estado crítico; caso en el cual, la Autoridad Ambiental Regional debería considerar estas particularidades biológicas para tomar la decisión de negar, restringir u otorgar el aprovechamiento maderable o no maderable.</w:t>
      </w:r>
    </w:p>
    <w:p w:rsidR="006C17CD" w:rsidRDefault="00855D9A" w:rsidP="00855D9A">
      <w:pPr>
        <w:jc w:val="center"/>
        <w:rPr>
          <w:rFonts w:cs="Arial"/>
          <w:szCs w:val="22"/>
        </w:rPr>
      </w:pPr>
      <w:r>
        <w:rPr>
          <w:rFonts w:cs="Arial"/>
          <w:noProof/>
          <w:szCs w:val="22"/>
          <w:lang w:val="es-CO" w:eastAsia="es-CO"/>
        </w:rPr>
        <w:lastRenderedPageBreak/>
        <w:drawing>
          <wp:inline distT="0" distB="0" distL="0" distR="0">
            <wp:extent cx="5669280" cy="3115056"/>
            <wp:effectExtent l="0" t="0" r="7620" b="9525"/>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MB 1.jpg"/>
                    <pic:cNvPicPr/>
                  </pic:nvPicPr>
                  <pic:blipFill>
                    <a:blip r:embed="rId14">
                      <a:extLst>
                        <a:ext uri="{28A0092B-C50C-407E-A947-70E740481C1C}">
                          <a14:useLocalDpi xmlns:a14="http://schemas.microsoft.com/office/drawing/2010/main" val="0"/>
                        </a:ext>
                      </a:extLst>
                    </a:blip>
                    <a:stretch>
                      <a:fillRect/>
                    </a:stretch>
                  </pic:blipFill>
                  <pic:spPr>
                    <a:xfrm>
                      <a:off x="0" y="0"/>
                      <a:ext cx="5669280" cy="3115056"/>
                    </a:xfrm>
                    <a:prstGeom prst="rect">
                      <a:avLst/>
                    </a:prstGeom>
                  </pic:spPr>
                </pic:pic>
              </a:graphicData>
            </a:graphic>
          </wp:inline>
        </w:drawing>
      </w:r>
    </w:p>
    <w:p w:rsidR="00855D9A" w:rsidRDefault="00855D9A" w:rsidP="00855D9A">
      <w:pPr>
        <w:pStyle w:val="Epgrafe"/>
        <w:rPr>
          <w:rFonts w:cs="Arial"/>
          <w:szCs w:val="18"/>
        </w:rPr>
      </w:pPr>
      <w:bookmarkStart w:id="33" w:name="_Toc23137185"/>
      <w:r>
        <w:t xml:space="preserve">Figura </w:t>
      </w:r>
      <w:r>
        <w:fldChar w:fldCharType="begin"/>
      </w:r>
      <w:r>
        <w:instrText xml:space="preserve"> SEQ Figura \* ARABIC </w:instrText>
      </w:r>
      <w:r>
        <w:fldChar w:fldCharType="separate"/>
      </w:r>
      <w:r>
        <w:rPr>
          <w:noProof/>
        </w:rPr>
        <w:t>2</w:t>
      </w:r>
      <w:r>
        <w:fldChar w:fldCharType="end"/>
      </w:r>
      <w:r>
        <w:t xml:space="preserve">. </w:t>
      </w:r>
      <w:r>
        <w:rPr>
          <w:rFonts w:cs="Arial"/>
          <w:szCs w:val="18"/>
        </w:rPr>
        <w:t xml:space="preserve">Esquema de los </w:t>
      </w:r>
      <w:r w:rsidRPr="00333FE1">
        <w:rPr>
          <w:rFonts w:cs="Arial"/>
          <w:szCs w:val="18"/>
        </w:rPr>
        <w:t>Niveles</w:t>
      </w:r>
      <w:r>
        <w:rPr>
          <w:rFonts w:cs="Arial"/>
          <w:szCs w:val="18"/>
        </w:rPr>
        <w:t xml:space="preserve"> de Planificación Involucrados en la Ordenación Forestal Integral y Sostenible</w:t>
      </w:r>
      <w:bookmarkEnd w:id="33"/>
    </w:p>
    <w:p w:rsidR="00B00FD8" w:rsidRDefault="00B00FD8" w:rsidP="00427C98">
      <w:pPr>
        <w:pStyle w:val="NormalWeb"/>
        <w:spacing w:before="0" w:beforeAutospacing="0" w:after="0" w:afterAutospacing="0"/>
        <w:jc w:val="center"/>
        <w:textAlignment w:val="baseline"/>
        <w:rPr>
          <w:rFonts w:ascii="Calibri" w:hAnsi="Calibri"/>
          <w:b/>
          <w:bCs/>
          <w:kern w:val="24"/>
          <w:sz w:val="10"/>
          <w:szCs w:val="10"/>
          <w14:shadow w14:blurRad="38100" w14:dist="38100" w14:dir="2700000" w14:sx="100000" w14:sy="100000" w14:kx="0" w14:ky="0" w14:algn="tl">
            <w14:srgbClr w14:val="000000">
              <w14:alpha w14:val="57000"/>
            </w14:srgbClr>
          </w14:shadow>
        </w:rPr>
      </w:pPr>
    </w:p>
    <w:p w:rsidR="00105198" w:rsidRDefault="00105198" w:rsidP="00855D9A">
      <w:pPr>
        <w:pStyle w:val="NormalWeb"/>
        <w:tabs>
          <w:tab w:val="left" w:pos="4536"/>
        </w:tabs>
        <w:spacing w:before="0" w:beforeAutospacing="0" w:after="0" w:afterAutospacing="0"/>
        <w:jc w:val="left"/>
        <w:textAlignment w:val="baseline"/>
        <w:rPr>
          <w:rFonts w:cs="Arial"/>
          <w:szCs w:val="22"/>
        </w:rPr>
      </w:pPr>
      <w:r w:rsidRPr="0067039A">
        <w:rPr>
          <w:rFonts w:cs="Arial"/>
          <w:szCs w:val="22"/>
        </w:rPr>
        <w:t xml:space="preserve">Del mismo modo, la </w:t>
      </w:r>
      <w:r>
        <w:rPr>
          <w:rFonts w:cs="Arial"/>
          <w:szCs w:val="22"/>
        </w:rPr>
        <w:t>Autoridad Ambiental Regional</w:t>
      </w:r>
      <w:r w:rsidRPr="0067039A">
        <w:rPr>
          <w:rFonts w:cs="Arial"/>
          <w:szCs w:val="22"/>
        </w:rPr>
        <w:t xml:space="preserve"> puede fijar parámetros a las técnicas de extracción y transporte en la cosecha forestal </w:t>
      </w:r>
      <w:r>
        <w:rPr>
          <w:rFonts w:cs="Arial"/>
          <w:szCs w:val="22"/>
        </w:rPr>
        <w:t xml:space="preserve">a emplear </w:t>
      </w:r>
      <w:r w:rsidRPr="0067039A">
        <w:rPr>
          <w:rFonts w:cs="Arial"/>
          <w:szCs w:val="22"/>
        </w:rPr>
        <w:t xml:space="preserve">en cada </w:t>
      </w:r>
      <w:r w:rsidR="00CE0413">
        <w:rPr>
          <w:rFonts w:cs="Arial"/>
          <w:szCs w:val="22"/>
        </w:rPr>
        <w:t>macro</w:t>
      </w:r>
      <w:r w:rsidRPr="0067039A">
        <w:rPr>
          <w:rFonts w:cs="Arial"/>
          <w:szCs w:val="22"/>
        </w:rPr>
        <w:t>unidad de manejo</w:t>
      </w:r>
      <w:r w:rsidR="00CE0413">
        <w:rPr>
          <w:rFonts w:cs="Arial"/>
          <w:szCs w:val="22"/>
        </w:rPr>
        <w:t xml:space="preserve"> para aprovechamiento forestal</w:t>
      </w:r>
      <w:r w:rsidRPr="0067039A">
        <w:rPr>
          <w:rFonts w:cs="Arial"/>
          <w:szCs w:val="22"/>
        </w:rPr>
        <w:t>; los cuales deben ser asimilados por los usuarios en sus P</w:t>
      </w:r>
      <w:r>
        <w:rPr>
          <w:rFonts w:cs="Arial"/>
          <w:szCs w:val="22"/>
        </w:rPr>
        <w:t xml:space="preserve">lanes de </w:t>
      </w:r>
      <w:r w:rsidR="00CE0413">
        <w:rPr>
          <w:rFonts w:cs="Arial"/>
          <w:szCs w:val="22"/>
        </w:rPr>
        <w:t>Manejo</w:t>
      </w:r>
      <w:r>
        <w:rPr>
          <w:rFonts w:cs="Arial"/>
          <w:szCs w:val="22"/>
        </w:rPr>
        <w:t xml:space="preserve"> </w:t>
      </w:r>
      <w:r w:rsidRPr="0067039A">
        <w:rPr>
          <w:rFonts w:cs="Arial"/>
          <w:szCs w:val="22"/>
        </w:rPr>
        <w:t>F</w:t>
      </w:r>
      <w:r w:rsidR="00CE0413">
        <w:rPr>
          <w:rFonts w:cs="Arial"/>
          <w:szCs w:val="22"/>
        </w:rPr>
        <w:t>orestal - PM</w:t>
      </w:r>
      <w:r>
        <w:rPr>
          <w:rFonts w:cs="Arial"/>
          <w:szCs w:val="22"/>
        </w:rPr>
        <w:t>F</w:t>
      </w:r>
      <w:r w:rsidRPr="0067039A">
        <w:rPr>
          <w:rFonts w:cs="Arial"/>
          <w:szCs w:val="22"/>
        </w:rPr>
        <w:t xml:space="preserve"> y por </w:t>
      </w:r>
      <w:r>
        <w:rPr>
          <w:rFonts w:cs="Arial"/>
          <w:szCs w:val="22"/>
        </w:rPr>
        <w:t>ella</w:t>
      </w:r>
      <w:r w:rsidRPr="0067039A">
        <w:rPr>
          <w:rFonts w:cs="Arial"/>
          <w:szCs w:val="22"/>
        </w:rPr>
        <w:t xml:space="preserve"> en los Actos Administrativos del caso. Por ejemplo, si se trata de zonas con pendientes mayores al 30%, no se permitiría la extracción mediante arrastre con cables. O, si se trata de suelos de régimen hidromórfico, no permitir la </w:t>
      </w:r>
      <w:r>
        <w:rPr>
          <w:rFonts w:cs="Arial"/>
          <w:szCs w:val="22"/>
        </w:rPr>
        <w:t>construcción de</w:t>
      </w:r>
      <w:r w:rsidRPr="0067039A">
        <w:rPr>
          <w:rFonts w:cs="Arial"/>
          <w:szCs w:val="22"/>
        </w:rPr>
        <w:t xml:space="preserve"> canales de extracción que cambien dicho régimen y afecten negativamente la composición florística, la estructura, la dinámica y la salud y vitalidad del ecosistema forestal.</w:t>
      </w:r>
    </w:p>
    <w:p w:rsidR="006C17CD" w:rsidRDefault="006C17CD" w:rsidP="006C17CD">
      <w:pPr>
        <w:rPr>
          <w:rFonts w:cs="Arial"/>
          <w:szCs w:val="22"/>
        </w:rPr>
      </w:pPr>
      <w:r>
        <w:rPr>
          <w:rFonts w:cs="Arial"/>
          <w:szCs w:val="22"/>
        </w:rPr>
        <w:t>En caso que el aprovechamiento de las plantaciones comerciales signifique realizar tala rasa y desaparición temporal o definitiva de la cobertura forestal, ellas serían factibles en Áreas Forestales Productoras. En tanto que la reforestación comercial en Áreas Forestales Protectoras, Distritos Regionales de Manejo Integrado o Distritos de Conservación de suelos implica que el aprovechamiento forestal no signifique</w:t>
      </w:r>
      <w:r w:rsidR="007B1CC8">
        <w:rPr>
          <w:rFonts w:cs="Arial"/>
          <w:szCs w:val="22"/>
        </w:rPr>
        <w:t xml:space="preserve"> </w:t>
      </w:r>
      <w:r>
        <w:rPr>
          <w:rFonts w:cs="Arial"/>
          <w:szCs w:val="22"/>
        </w:rPr>
        <w:t>la desaparición temporal o definitiva de la vegetación arbórea, y este sea realizado a través de entresacas, raleos o podas.</w:t>
      </w:r>
    </w:p>
    <w:p w:rsidR="003162BA" w:rsidRPr="003162BA" w:rsidRDefault="003162BA" w:rsidP="00855D9A">
      <w:pPr>
        <w:pStyle w:val="Ttulo1"/>
      </w:pPr>
      <w:bookmarkStart w:id="34" w:name="_Toc279231689"/>
      <w:bookmarkStart w:id="35" w:name="_Toc23137177"/>
      <w:r w:rsidRPr="003162BA">
        <w:t>1</w:t>
      </w:r>
      <w:r w:rsidR="00C468C5">
        <w:t>3</w:t>
      </w:r>
      <w:r w:rsidRPr="003162BA">
        <w:t>.</w:t>
      </w:r>
      <w:r w:rsidR="007B1CC8">
        <w:t xml:space="preserve"> </w:t>
      </w:r>
      <w:r w:rsidRPr="003162BA">
        <w:t>MARCO JURÍDICO NACIONAL PARA LA ADMINISTRACIÓN</w:t>
      </w:r>
      <w:r w:rsidR="002B64C4">
        <w:t>, MANEJO</w:t>
      </w:r>
      <w:r w:rsidR="007B1CC8">
        <w:t xml:space="preserve"> </w:t>
      </w:r>
      <w:r w:rsidRPr="003162BA">
        <w:t xml:space="preserve">Y APROVECHAMIENTO DE LOS BOSQUES </w:t>
      </w:r>
      <w:r w:rsidR="002B64C4">
        <w:t>NATURALES</w:t>
      </w:r>
      <w:bookmarkEnd w:id="35"/>
    </w:p>
    <w:p w:rsidR="003162BA" w:rsidRPr="003162BA" w:rsidRDefault="003162BA" w:rsidP="00855D9A">
      <w:pPr>
        <w:pStyle w:val="Ttulo2"/>
      </w:pPr>
      <w:bookmarkStart w:id="36" w:name="_Toc23137178"/>
      <w:r w:rsidRPr="003162BA">
        <w:t>1</w:t>
      </w:r>
      <w:r w:rsidR="00C468C5">
        <w:t>3</w:t>
      </w:r>
      <w:r w:rsidRPr="003162BA">
        <w:t>.1 NORMAS Y POLÍTICAS DIRECTAMENTE RELACIONADAS CON LA ADMINISTRACIÓN Y APROVECHAMIENTO DE LOS BOSQUES</w:t>
      </w:r>
      <w:r w:rsidRPr="003162BA">
        <w:rPr>
          <w:vertAlign w:val="superscript"/>
        </w:rPr>
        <w:footnoteReference w:id="25"/>
      </w:r>
      <w:bookmarkEnd w:id="36"/>
    </w:p>
    <w:p w:rsidR="003162BA" w:rsidRPr="003162BA" w:rsidRDefault="003162BA" w:rsidP="00855D9A">
      <w:r w:rsidRPr="003162BA">
        <w:t>A continuación se mencionan y describen de manera concisa las principales normas</w:t>
      </w:r>
      <w:r w:rsidR="007B1CC8">
        <w:t xml:space="preserve"> </w:t>
      </w:r>
      <w:r w:rsidRPr="003162BA">
        <w:t>y políticas nacionales directamente relacionadas con la administración</w:t>
      </w:r>
      <w:r w:rsidR="005260BA">
        <w:t>, el manejo</w:t>
      </w:r>
      <w:r w:rsidR="007B1CC8">
        <w:t xml:space="preserve"> </w:t>
      </w:r>
      <w:r w:rsidRPr="003162BA">
        <w:t>y el aprovechamiento forestal.</w:t>
      </w:r>
    </w:p>
    <w:p w:rsidR="003162BA" w:rsidRPr="003162BA" w:rsidRDefault="003162BA" w:rsidP="00855D9A">
      <w:pPr>
        <w:pStyle w:val="Ttulo3"/>
      </w:pPr>
      <w:bookmarkStart w:id="37" w:name="_Toc23137179"/>
      <w:r w:rsidRPr="003162BA">
        <w:t>1</w:t>
      </w:r>
      <w:r w:rsidR="00E75467">
        <w:t>3</w:t>
      </w:r>
      <w:r w:rsidRPr="003162BA">
        <w:t>.1.1 Normas</w:t>
      </w:r>
      <w:bookmarkEnd w:id="37"/>
    </w:p>
    <w:p w:rsidR="003162BA" w:rsidRPr="003162BA" w:rsidRDefault="003162BA" w:rsidP="00446ECB">
      <w:pPr>
        <w:widowControl w:val="0"/>
        <w:numPr>
          <w:ilvl w:val="0"/>
          <w:numId w:val="11"/>
        </w:numPr>
        <w:ind w:left="426" w:hanging="426"/>
        <w:contextualSpacing/>
        <w:rPr>
          <w:b/>
          <w:szCs w:val="22"/>
        </w:rPr>
      </w:pPr>
      <w:r w:rsidRPr="003162BA">
        <w:rPr>
          <w:b/>
          <w:szCs w:val="22"/>
        </w:rPr>
        <w:t>Ley 2a. de 1959: “Por el cual se dictan normas sobre economía forestal de la Nación y conservación de recursos naturales renovables”.</w:t>
      </w:r>
    </w:p>
    <w:p w:rsidR="003162BA" w:rsidRPr="003162BA" w:rsidRDefault="003162BA" w:rsidP="000547CB">
      <w:pPr>
        <w:ind w:left="-57"/>
        <w:rPr>
          <w:szCs w:val="22"/>
        </w:rPr>
      </w:pPr>
      <w:r w:rsidRPr="003162BA">
        <w:rPr>
          <w:szCs w:val="22"/>
        </w:rPr>
        <w:t>El Gobierno Nacional mediante la Ley 2a. de 1959, y el Decreto 0111 de 1959 estableció con carácter de "Zonas Forestales Protectoras" y "Bosques de Interés General", según la clasificación de que trata el Decreto legislativo número 2278 de 1953, las siguientes siete (7) grandes Zonas de Reserva Forestal; 1ª) Sierra Nevada de Santa Marta; 2ª) Serranía de Los Motilones; 3ª) Sierra del Cocuy;</w:t>
      </w:r>
      <w:r w:rsidR="007B1CC8">
        <w:rPr>
          <w:szCs w:val="22"/>
        </w:rPr>
        <w:t xml:space="preserve"> </w:t>
      </w:r>
      <w:r w:rsidRPr="003162BA">
        <w:rPr>
          <w:szCs w:val="22"/>
        </w:rPr>
        <w:t xml:space="preserve">4ª) Río Magdalena; 5ª) Costa Pacífica; 6ª) Región </w:t>
      </w:r>
      <w:r w:rsidRPr="003162BA">
        <w:rPr>
          <w:szCs w:val="22"/>
        </w:rPr>
        <w:lastRenderedPageBreak/>
        <w:t>Central; 7ª) Amazonía, que en conjunto tenían una cobertura aproximada de 65.7 millones de hectáreas. Estas reservas fueron creadas</w:t>
      </w:r>
      <w:r w:rsidR="007B1CC8">
        <w:rPr>
          <w:szCs w:val="22"/>
        </w:rPr>
        <w:t xml:space="preserve"> </w:t>
      </w:r>
      <w:r w:rsidRPr="003162BA">
        <w:rPr>
          <w:szCs w:val="22"/>
        </w:rPr>
        <w:t>con fines del desarrollo de la economía forestal y protección de los suelos, las aguas y la vida silvestre.</w:t>
      </w:r>
    </w:p>
    <w:p w:rsidR="003162BA" w:rsidRPr="003162BA" w:rsidRDefault="003162BA" w:rsidP="000547CB">
      <w:pPr>
        <w:ind w:left="-57"/>
        <w:rPr>
          <w:szCs w:val="22"/>
        </w:rPr>
      </w:pPr>
      <w:r w:rsidRPr="003162BA">
        <w:rPr>
          <w:szCs w:val="22"/>
        </w:rPr>
        <w:t>Sin embargo, hasta el año 2003 el área total de las mismas había venido disminuyendo, especialmente por el proceso colonizador;</w:t>
      </w:r>
      <w:r w:rsidR="007B1CC8">
        <w:rPr>
          <w:szCs w:val="22"/>
        </w:rPr>
        <w:t xml:space="preserve"> </w:t>
      </w:r>
      <w:r w:rsidRPr="003162BA">
        <w:rPr>
          <w:szCs w:val="22"/>
        </w:rPr>
        <w:t>de tal manera que se había sustraído 12,06 millones de hectáreas equivalentes al 18.4% de su extensión original, quedando un remanente aproximado de 53.6 millones de has en Reserva Forestal (81.6%) de su cobertura inicial.</w:t>
      </w:r>
      <w:r w:rsidR="007B1CC8">
        <w:rPr>
          <w:szCs w:val="22"/>
        </w:rPr>
        <w:t xml:space="preserve"> </w:t>
      </w:r>
      <w:r w:rsidRPr="003162BA">
        <w:rPr>
          <w:szCs w:val="22"/>
        </w:rPr>
        <w:t xml:space="preserve">Por otra parte, y según la citada Ley, estas zonas deberían </w:t>
      </w:r>
      <w:r w:rsidR="00C468C5">
        <w:rPr>
          <w:szCs w:val="22"/>
        </w:rPr>
        <w:t>estar bajo</w:t>
      </w:r>
      <w:r w:rsidRPr="003162BA">
        <w:rPr>
          <w:szCs w:val="22"/>
        </w:rPr>
        <w:t xml:space="preserve"> ordenación forestal</w:t>
      </w:r>
      <w:r w:rsidR="00C468C5">
        <w:rPr>
          <w:szCs w:val="22"/>
        </w:rPr>
        <w:t>, pero actualmente no tienen planes específicos.</w:t>
      </w:r>
      <w:r w:rsidRPr="003162BA">
        <w:rPr>
          <w:szCs w:val="22"/>
        </w:rPr>
        <w:t xml:space="preserve"> </w:t>
      </w:r>
    </w:p>
    <w:p w:rsidR="003162BA" w:rsidRPr="003162BA" w:rsidRDefault="003162BA" w:rsidP="00446ECB">
      <w:pPr>
        <w:widowControl w:val="0"/>
        <w:numPr>
          <w:ilvl w:val="0"/>
          <w:numId w:val="10"/>
        </w:numPr>
        <w:ind w:left="426" w:hanging="426"/>
        <w:rPr>
          <w:b/>
          <w:szCs w:val="22"/>
        </w:rPr>
      </w:pPr>
      <w:r w:rsidRPr="003162BA">
        <w:rPr>
          <w:b/>
          <w:szCs w:val="22"/>
        </w:rPr>
        <w:t>Decreto Ley 2811 de 1974: “Por el cual se dicta el Código Nacional de Recursos Naturales Renovables y de Protección al Medio Ambiente”.</w:t>
      </w:r>
    </w:p>
    <w:p w:rsidR="003162BA" w:rsidRPr="003162BA" w:rsidRDefault="003162BA" w:rsidP="000547CB">
      <w:pPr>
        <w:ind w:left="-57"/>
        <w:rPr>
          <w:szCs w:val="22"/>
        </w:rPr>
      </w:pPr>
      <w:r w:rsidRPr="003162BA">
        <w:rPr>
          <w:szCs w:val="22"/>
        </w:rPr>
        <w:t>Esta norma define y regula aspectos fundamentales en el tema del aprovechamiento forestal, y se le considera pionera en el tema a nivel nacional.</w:t>
      </w:r>
      <w:r w:rsidR="007B1CC8">
        <w:rPr>
          <w:szCs w:val="22"/>
        </w:rPr>
        <w:t xml:space="preserve"> </w:t>
      </w:r>
      <w:r w:rsidRPr="003162BA">
        <w:rPr>
          <w:szCs w:val="22"/>
        </w:rPr>
        <w:t>Los principales apartes de esta norma, al respecto, son:</w:t>
      </w:r>
    </w:p>
    <w:p w:rsidR="003162BA" w:rsidRPr="003162BA" w:rsidRDefault="003162BA" w:rsidP="000547CB">
      <w:pPr>
        <w:ind w:left="-57"/>
        <w:rPr>
          <w:szCs w:val="22"/>
        </w:rPr>
      </w:pPr>
      <w:r w:rsidRPr="003162BA">
        <w:rPr>
          <w:szCs w:val="22"/>
        </w:rPr>
        <w:t>CAPITULO I. DE DEFINICIONES Y FACULTADES. Artículos 199 y 200</w:t>
      </w:r>
    </w:p>
    <w:p w:rsidR="003162BA" w:rsidRPr="003162BA" w:rsidRDefault="003162BA" w:rsidP="000547CB">
      <w:pPr>
        <w:ind w:left="-57"/>
        <w:rPr>
          <w:szCs w:val="22"/>
        </w:rPr>
      </w:pPr>
      <w:r w:rsidRPr="003162BA">
        <w:rPr>
          <w:szCs w:val="22"/>
        </w:rPr>
        <w:t>CAPITULO II. DE LA ADMINISTRACION Y DEL MANEJO. Artículo 201</w:t>
      </w:r>
    </w:p>
    <w:p w:rsidR="003162BA" w:rsidRPr="003162BA" w:rsidRDefault="003162BA" w:rsidP="000547CB">
      <w:pPr>
        <w:ind w:left="-57"/>
        <w:rPr>
          <w:szCs w:val="22"/>
        </w:rPr>
      </w:pPr>
      <w:r w:rsidRPr="003162BA">
        <w:rPr>
          <w:szCs w:val="22"/>
        </w:rPr>
        <w:t xml:space="preserve">TITULO III. DE LOS BOSQUES. Artículos 202, 203, 204 y Artículo 205. </w:t>
      </w:r>
    </w:p>
    <w:p w:rsidR="003162BA" w:rsidRPr="003162BA" w:rsidRDefault="003162BA" w:rsidP="000547CB">
      <w:pPr>
        <w:ind w:left="-57"/>
        <w:rPr>
          <w:szCs w:val="22"/>
        </w:rPr>
      </w:pPr>
      <w:r w:rsidRPr="003162BA">
        <w:rPr>
          <w:szCs w:val="22"/>
        </w:rPr>
        <w:t>De esta norma se destacan los siguientes puntos:</w:t>
      </w:r>
    </w:p>
    <w:p w:rsidR="003162BA" w:rsidRPr="003162BA" w:rsidRDefault="003162BA" w:rsidP="00446ECB">
      <w:pPr>
        <w:pStyle w:val="Prrafodelista"/>
        <w:numPr>
          <w:ilvl w:val="0"/>
          <w:numId w:val="44"/>
        </w:numPr>
      </w:pPr>
      <w:r w:rsidRPr="003162BA">
        <w:t xml:space="preserve"> </w:t>
      </w:r>
      <w:r w:rsidRPr="003162BA">
        <w:tab/>
        <w:t>Se refiere a los Productos Forestales No Maderables (PFNM) como frutos secundarios del bosque</w:t>
      </w:r>
    </w:p>
    <w:p w:rsidR="003162BA" w:rsidRPr="003162BA" w:rsidRDefault="003162BA" w:rsidP="00446ECB">
      <w:pPr>
        <w:pStyle w:val="Prrafodelista"/>
        <w:numPr>
          <w:ilvl w:val="0"/>
          <w:numId w:val="44"/>
        </w:numPr>
      </w:pPr>
      <w:r w:rsidRPr="003162BA">
        <w:tab/>
        <w:t>Define en cuál tipo de área forestal se enfatiza el aprovechamiento de los PFNM; tanto en áreas forestales productoras como en áreas forestales protectoras Especialmente considera que en las áreas forestales protectoras solamente se permite el aprovechamiento de PFNM, mas no el de Productos Forestales Maderables).</w:t>
      </w:r>
    </w:p>
    <w:p w:rsidR="003162BA" w:rsidRPr="003162BA" w:rsidRDefault="003162BA" w:rsidP="00446ECB">
      <w:pPr>
        <w:pStyle w:val="Prrafodelista"/>
        <w:numPr>
          <w:ilvl w:val="0"/>
          <w:numId w:val="44"/>
        </w:numPr>
      </w:pPr>
      <w:r w:rsidRPr="003162BA">
        <w:tab/>
        <w:t xml:space="preserve">Establece los parámetros y lineamientos legales para el aprovechamiento forestal (tipos, requisitos, procedimientos administrativos y legales etc.), conjuntamente para PFM como para PFNM, sin distingo. </w:t>
      </w:r>
    </w:p>
    <w:p w:rsidR="003162BA" w:rsidRPr="003162BA" w:rsidRDefault="003162BA" w:rsidP="00446ECB">
      <w:pPr>
        <w:widowControl w:val="0"/>
        <w:numPr>
          <w:ilvl w:val="0"/>
          <w:numId w:val="11"/>
        </w:numPr>
        <w:ind w:left="426" w:hanging="426"/>
        <w:contextualSpacing/>
        <w:rPr>
          <w:rFonts w:eastAsia="Calibri"/>
          <w:szCs w:val="22"/>
          <w:lang w:val="es-CO"/>
        </w:rPr>
      </w:pPr>
      <w:r w:rsidRPr="003162BA">
        <w:rPr>
          <w:rFonts w:eastAsia="Calibri"/>
          <w:b/>
          <w:szCs w:val="22"/>
          <w:lang w:val="es-CO"/>
        </w:rPr>
        <w:t>La Ley 99 de 1993:</w:t>
      </w:r>
      <w:r w:rsidRPr="003162BA">
        <w:rPr>
          <w:rFonts w:eastAsia="Calibri"/>
          <w:szCs w:val="22"/>
          <w:lang w:val="es-CO"/>
        </w:rPr>
        <w:t xml:space="preserve"> “Por la cual se crea el MINISTERIO DEL MEDIO AMBIENTE, se reordena el Sector Público encargado de la gestión y conservación del medio ambiente y los recursos naturales renovables, se organiza el Sistema Nacional Ambiental –SINA y se dictan otras disposiciones”.</w:t>
      </w:r>
    </w:p>
    <w:p w:rsidR="003162BA" w:rsidRPr="003162BA" w:rsidRDefault="003162BA" w:rsidP="000547CB">
      <w:pPr>
        <w:rPr>
          <w:rFonts w:eastAsia="Calibri"/>
          <w:szCs w:val="22"/>
          <w:lang w:val="es-CO"/>
        </w:rPr>
      </w:pPr>
      <w:r w:rsidRPr="003162BA">
        <w:rPr>
          <w:rFonts w:eastAsia="Calibri"/>
          <w:szCs w:val="22"/>
          <w:lang w:val="es-CO"/>
        </w:rPr>
        <w:t>En sta Ley se establece un marco</w:t>
      </w:r>
      <w:r w:rsidR="007B1CC8">
        <w:rPr>
          <w:rFonts w:eastAsia="Calibri"/>
          <w:szCs w:val="22"/>
          <w:lang w:val="es-CO"/>
        </w:rPr>
        <w:t xml:space="preserve"> </w:t>
      </w:r>
      <w:r w:rsidRPr="003162BA">
        <w:rPr>
          <w:rFonts w:eastAsia="Calibri"/>
          <w:szCs w:val="22"/>
          <w:lang w:val="es-CO"/>
        </w:rPr>
        <w:t>normativo relacionado con el uso de los recursos naturales renovables; cuyos apartes más atinentes al aprovechamiento y manejo de los bosques naturales se pueden especificar así:</w:t>
      </w:r>
    </w:p>
    <w:p w:rsidR="003162BA" w:rsidRPr="003162BA" w:rsidRDefault="003162BA" w:rsidP="000547CB">
      <w:pPr>
        <w:rPr>
          <w:rFonts w:eastAsia="Calibri"/>
          <w:szCs w:val="22"/>
          <w:lang w:val="es-CO"/>
        </w:rPr>
      </w:pPr>
      <w:r w:rsidRPr="003162BA">
        <w:rPr>
          <w:rFonts w:eastAsia="Calibri"/>
          <w:szCs w:val="22"/>
          <w:lang w:val="es-CO"/>
        </w:rPr>
        <w:t xml:space="preserve">Artículo 2.- Creación y Objetivos del Ministerio del Medio Ambiente. </w:t>
      </w:r>
    </w:p>
    <w:p w:rsidR="003162BA" w:rsidRPr="003162BA" w:rsidRDefault="003162BA" w:rsidP="000547CB">
      <w:pPr>
        <w:rPr>
          <w:rFonts w:eastAsia="Calibri"/>
          <w:szCs w:val="22"/>
          <w:lang w:val="es-CO"/>
        </w:rPr>
      </w:pPr>
      <w:r w:rsidRPr="003162BA">
        <w:rPr>
          <w:rFonts w:eastAsia="Calibri"/>
          <w:szCs w:val="22"/>
          <w:lang w:val="es-CO"/>
        </w:rPr>
        <w:t>Artículo 5.- Funciones del Ministerio del Medio Ambiente.</w:t>
      </w:r>
    </w:p>
    <w:p w:rsidR="003162BA" w:rsidRPr="003162BA" w:rsidRDefault="003162BA" w:rsidP="000547CB">
      <w:pPr>
        <w:rPr>
          <w:rFonts w:eastAsia="Calibri"/>
          <w:i/>
          <w:sz w:val="20"/>
          <w:szCs w:val="20"/>
          <w:lang w:val="es-CO"/>
        </w:rPr>
      </w:pPr>
      <w:r w:rsidRPr="003162BA">
        <w:rPr>
          <w:rFonts w:eastAsia="Calibri"/>
          <w:szCs w:val="22"/>
          <w:lang w:val="es-CO"/>
        </w:rPr>
        <w:t>Artículo 31.- Establece entre las diversas funciones de las Corporaciones Autónomas Regionales, las relacionadas con el uso de los recursos naturales renovables.</w:t>
      </w:r>
    </w:p>
    <w:p w:rsidR="003162BA" w:rsidRPr="003162BA" w:rsidRDefault="003162BA" w:rsidP="00446ECB">
      <w:pPr>
        <w:widowControl w:val="0"/>
        <w:numPr>
          <w:ilvl w:val="0"/>
          <w:numId w:val="11"/>
        </w:numPr>
        <w:ind w:left="426" w:hanging="426"/>
        <w:contextualSpacing/>
        <w:rPr>
          <w:rFonts w:eastAsia="Calibri"/>
          <w:b/>
          <w:szCs w:val="22"/>
        </w:rPr>
      </w:pPr>
      <w:r w:rsidRPr="003162BA">
        <w:rPr>
          <w:rFonts w:eastAsia="Calibri"/>
          <w:b/>
          <w:szCs w:val="22"/>
        </w:rPr>
        <w:t xml:space="preserve">Decreto Ley 3570 de 2011: “Por el cual se modifican los objetivos y la estructura del Ministerio de Ambiente y Desarrollo Sostenible y se integra el Sector Administrativo de Ambiente y Desarrollo Sostenible”. </w:t>
      </w:r>
    </w:p>
    <w:p w:rsidR="003162BA" w:rsidRPr="003162BA" w:rsidRDefault="003162BA" w:rsidP="000547CB">
      <w:pPr>
        <w:rPr>
          <w:rFonts w:eastAsia="Calibri"/>
          <w:szCs w:val="22"/>
        </w:rPr>
      </w:pPr>
      <w:r w:rsidRPr="003162BA">
        <w:rPr>
          <w:rFonts w:eastAsia="Calibri"/>
          <w:szCs w:val="22"/>
        </w:rPr>
        <w:t xml:space="preserve">Esta norma presenta las siguientes secciones asociadas al uso de los recursos forestales: </w:t>
      </w:r>
    </w:p>
    <w:p w:rsidR="003162BA" w:rsidRPr="003162BA" w:rsidRDefault="003162BA" w:rsidP="000547CB">
      <w:pPr>
        <w:rPr>
          <w:rFonts w:eastAsia="Calibri"/>
          <w:szCs w:val="22"/>
        </w:rPr>
      </w:pPr>
      <w:r w:rsidRPr="003162BA">
        <w:rPr>
          <w:rFonts w:eastAsia="Calibri"/>
          <w:szCs w:val="22"/>
        </w:rPr>
        <w:t>Artículo 2.</w:t>
      </w:r>
      <w:r w:rsidR="007B1CC8">
        <w:rPr>
          <w:rFonts w:eastAsia="Calibri"/>
          <w:szCs w:val="22"/>
        </w:rPr>
        <w:t xml:space="preserve"> </w:t>
      </w:r>
      <w:r w:rsidRPr="003162BA">
        <w:rPr>
          <w:rFonts w:eastAsia="Calibri"/>
          <w:szCs w:val="22"/>
        </w:rPr>
        <w:t>Establece las funciones del Ministerio de Ambiente y Desarrollo Sostenible, además de las determinadas en la Constitución Política y en el artículo 59 de la Ley 489 de 1998.</w:t>
      </w:r>
    </w:p>
    <w:p w:rsidR="003162BA" w:rsidRPr="003162BA" w:rsidRDefault="003162BA" w:rsidP="000547CB">
      <w:pPr>
        <w:rPr>
          <w:rFonts w:eastAsia="Calibri"/>
          <w:i/>
          <w:sz w:val="20"/>
          <w:szCs w:val="20"/>
        </w:rPr>
      </w:pPr>
      <w:r w:rsidRPr="003162BA">
        <w:rPr>
          <w:rFonts w:eastAsia="Calibri"/>
          <w:szCs w:val="22"/>
        </w:rPr>
        <w:t>Artículo 16. Establece las funciones de la Dirección de Bosques, Biodiversidad y Servicios Ecosistémicos del Ministerio de Ambiente y Desarrollo Sostenible.</w:t>
      </w:r>
    </w:p>
    <w:p w:rsidR="003162BA" w:rsidRPr="003162BA" w:rsidRDefault="003162BA" w:rsidP="00446ECB">
      <w:pPr>
        <w:widowControl w:val="0"/>
        <w:numPr>
          <w:ilvl w:val="0"/>
          <w:numId w:val="11"/>
        </w:numPr>
        <w:ind w:left="426" w:hanging="426"/>
        <w:contextualSpacing/>
        <w:rPr>
          <w:b/>
          <w:color w:val="000000"/>
          <w:szCs w:val="22"/>
        </w:rPr>
      </w:pPr>
      <w:r w:rsidRPr="003162BA">
        <w:rPr>
          <w:b/>
          <w:color w:val="000000"/>
          <w:szCs w:val="22"/>
        </w:rPr>
        <w:t>Decreto 1076 de 2015: “Por el cual se expide el Decreto Único Reglamentario del Sector Ambiente y Desarrollo Sostenible”.</w:t>
      </w:r>
    </w:p>
    <w:p w:rsidR="003162BA" w:rsidRPr="003162BA" w:rsidRDefault="003162BA" w:rsidP="000547CB">
      <w:pPr>
        <w:ind w:left="-57"/>
        <w:rPr>
          <w:color w:val="000000"/>
          <w:szCs w:val="22"/>
          <w:highlight w:val="green"/>
        </w:rPr>
      </w:pPr>
      <w:r w:rsidRPr="003162BA">
        <w:rPr>
          <w:color w:val="000000"/>
          <w:szCs w:val="22"/>
        </w:rPr>
        <w:t>“Este Decreto es una compilación de las normas expedidas por el Gobierno Nacional en cabeza del Presidente de la República, en ejercicio de las facultades reglamentarias otorgadas por el numeral 11 del artículo 189 de la Constitución Política. La pretensión de esta iniciativa consistió en recoger en un solo cuerpo normativo todos los decretos reglamentarios vigentes expedidos hasta la fecha, que desarrollan las leyes en materia ambiental. Teniendo en cuenta esta finalidad este decreto no contiene ninguna disposición nueva, ni modifica las existentes”.</w:t>
      </w:r>
    </w:p>
    <w:p w:rsidR="003162BA" w:rsidRPr="003162BA" w:rsidRDefault="003162BA" w:rsidP="000547CB">
      <w:pPr>
        <w:ind w:left="-57"/>
        <w:rPr>
          <w:color w:val="000000"/>
          <w:szCs w:val="22"/>
          <w:highlight w:val="green"/>
        </w:rPr>
      </w:pPr>
    </w:p>
    <w:p w:rsidR="003162BA" w:rsidRPr="003162BA" w:rsidRDefault="003162BA" w:rsidP="000547CB">
      <w:pPr>
        <w:ind w:left="-57"/>
        <w:rPr>
          <w:color w:val="000000"/>
          <w:szCs w:val="22"/>
        </w:rPr>
      </w:pPr>
      <w:r w:rsidRPr="003162BA">
        <w:rPr>
          <w:color w:val="000000"/>
          <w:szCs w:val="22"/>
        </w:rPr>
        <w:lastRenderedPageBreak/>
        <w:t>Y, precisamente, entre las normas que compila se halla el Decreto 1791 de 1996: “Por medio de la cual se estableció el régimen de aprovechamiento forestal”, el cual estuvo vigente hasta mayo 25/2015 y</w:t>
      </w:r>
      <w:r w:rsidR="007B1CC8">
        <w:rPr>
          <w:color w:val="000000"/>
          <w:szCs w:val="22"/>
        </w:rPr>
        <w:t xml:space="preserve"> </w:t>
      </w:r>
      <w:r w:rsidRPr="003162BA">
        <w:rPr>
          <w:color w:val="000000"/>
          <w:szCs w:val="22"/>
        </w:rPr>
        <w:t xml:space="preserve">desarrollaba diversos elementos establecidos previamente por el Decreto Ley 2811 de 1974. </w:t>
      </w:r>
    </w:p>
    <w:p w:rsidR="003162BA" w:rsidRPr="003162BA" w:rsidRDefault="003162BA" w:rsidP="000547CB">
      <w:pPr>
        <w:autoSpaceDE w:val="0"/>
        <w:autoSpaceDN w:val="0"/>
        <w:ind w:left="-57"/>
        <w:rPr>
          <w:sz w:val="20"/>
          <w:szCs w:val="20"/>
        </w:rPr>
      </w:pPr>
      <w:r w:rsidRPr="003162BA">
        <w:rPr>
          <w:szCs w:val="22"/>
        </w:rPr>
        <w:t xml:space="preserve">El Decreto 1076 de 2015 en su Parte 2, Título 2, Capítulo 1, regula el aprovechamiento forestal en los bosques naturales del país, incluyendo aspectos de su comercialización e industrialización. </w:t>
      </w:r>
    </w:p>
    <w:p w:rsidR="003162BA" w:rsidRPr="003162BA" w:rsidRDefault="003162BA" w:rsidP="00446ECB">
      <w:pPr>
        <w:widowControl w:val="0"/>
        <w:numPr>
          <w:ilvl w:val="0"/>
          <w:numId w:val="11"/>
        </w:numPr>
        <w:autoSpaceDE w:val="0"/>
        <w:autoSpaceDN w:val="0"/>
        <w:ind w:left="426" w:hanging="426"/>
        <w:contextualSpacing/>
        <w:rPr>
          <w:b/>
          <w:szCs w:val="22"/>
        </w:rPr>
      </w:pPr>
      <w:r w:rsidRPr="003162BA">
        <w:rPr>
          <w:b/>
          <w:szCs w:val="22"/>
        </w:rPr>
        <w:t>Resoluciones Reglamentarias de la Ley 2ª. de 1959</w:t>
      </w:r>
    </w:p>
    <w:p w:rsidR="003162BA" w:rsidRPr="003162BA" w:rsidRDefault="003162BA" w:rsidP="000547CB">
      <w:pPr>
        <w:autoSpaceDE w:val="0"/>
        <w:autoSpaceDN w:val="0"/>
        <w:contextualSpacing/>
        <w:rPr>
          <w:szCs w:val="22"/>
        </w:rPr>
      </w:pPr>
      <w:r w:rsidRPr="003162BA">
        <w:rPr>
          <w:szCs w:val="22"/>
        </w:rPr>
        <w:t>Durante el año 2014 el Ministerio de Ambiente</w:t>
      </w:r>
      <w:r w:rsidR="007B1CC8">
        <w:rPr>
          <w:szCs w:val="22"/>
        </w:rPr>
        <w:t xml:space="preserve"> </w:t>
      </w:r>
      <w:r w:rsidRPr="003162BA">
        <w:rPr>
          <w:szCs w:val="22"/>
        </w:rPr>
        <w:t>y Desarrollo Sostenible de Colombia concluyó la zonificación de cuatro (4) de las siete (7) grandes reservas creadas por esta Ley. Y, en consecuencia, expidió igual número de Resoluciones con las cuales dio efectos vinculantes a dicha zonificación. Tales Resoluciones son las siguientes:</w:t>
      </w:r>
      <w:r w:rsidR="007B1CC8">
        <w:rPr>
          <w:szCs w:val="22"/>
        </w:rPr>
        <w:t xml:space="preserve"> </w:t>
      </w:r>
      <w:r w:rsidRPr="003162BA">
        <w:rPr>
          <w:szCs w:val="22"/>
        </w:rPr>
        <w:t xml:space="preserve"> </w:t>
      </w:r>
    </w:p>
    <w:p w:rsidR="003162BA" w:rsidRPr="003162BA" w:rsidRDefault="003162BA" w:rsidP="00446ECB">
      <w:pPr>
        <w:widowControl w:val="0"/>
        <w:numPr>
          <w:ilvl w:val="0"/>
          <w:numId w:val="12"/>
        </w:numPr>
        <w:autoSpaceDE w:val="0"/>
        <w:autoSpaceDN w:val="0"/>
        <w:ind w:left="426"/>
        <w:contextualSpacing/>
        <w:rPr>
          <w:sz w:val="20"/>
          <w:szCs w:val="20"/>
        </w:rPr>
      </w:pPr>
      <w:r w:rsidRPr="003162BA">
        <w:rPr>
          <w:sz w:val="20"/>
          <w:szCs w:val="20"/>
        </w:rPr>
        <w:t xml:space="preserve">Resolución 1275 de 2014: “Por medio de la cual se adopta la zonificación y el ordenamiento de la Reserva Forestal del Cocuy establecida en la Ley 2 de 1959 y se toman otras determinaciones”. </w:t>
      </w:r>
    </w:p>
    <w:p w:rsidR="003162BA" w:rsidRPr="003162BA" w:rsidRDefault="003162BA" w:rsidP="00446ECB">
      <w:pPr>
        <w:widowControl w:val="0"/>
        <w:numPr>
          <w:ilvl w:val="0"/>
          <w:numId w:val="12"/>
        </w:numPr>
        <w:autoSpaceDE w:val="0"/>
        <w:autoSpaceDN w:val="0"/>
        <w:ind w:left="426"/>
        <w:contextualSpacing/>
        <w:rPr>
          <w:sz w:val="20"/>
          <w:szCs w:val="20"/>
        </w:rPr>
      </w:pPr>
      <w:r w:rsidRPr="003162BA">
        <w:rPr>
          <w:sz w:val="20"/>
          <w:szCs w:val="20"/>
        </w:rPr>
        <w:t>Resolución 1276 de 2014: “Por medio de la cual se adopta la zonificación y el ordenamiento de la Reserva Forestal Sierra Nevada de Santa Marta establecida en la Ley 2 de 1959 y se toman otras determinaciones”.</w:t>
      </w:r>
    </w:p>
    <w:p w:rsidR="003162BA" w:rsidRPr="003162BA" w:rsidRDefault="003162BA" w:rsidP="00446ECB">
      <w:pPr>
        <w:widowControl w:val="0"/>
        <w:numPr>
          <w:ilvl w:val="0"/>
          <w:numId w:val="12"/>
        </w:numPr>
        <w:autoSpaceDE w:val="0"/>
        <w:autoSpaceDN w:val="0"/>
        <w:ind w:left="426"/>
        <w:contextualSpacing/>
        <w:rPr>
          <w:sz w:val="20"/>
          <w:szCs w:val="20"/>
        </w:rPr>
      </w:pPr>
      <w:r w:rsidRPr="003162BA">
        <w:rPr>
          <w:sz w:val="20"/>
          <w:szCs w:val="20"/>
        </w:rPr>
        <w:t xml:space="preserve">Resolución 1277 de 2014: “Por medio de la cual se adopta la zonificación y el ordenamiento de la Reserva Forestal de la Amazonia establecida en la Ley 2 de 1959, en los departamentos de Amazonas, Cauca, Guainía, Putumayo y Vaupés, y se toman otras determinaciones”. </w:t>
      </w:r>
    </w:p>
    <w:p w:rsidR="003162BA" w:rsidRPr="003162BA" w:rsidRDefault="003162BA" w:rsidP="00446ECB">
      <w:pPr>
        <w:widowControl w:val="0"/>
        <w:numPr>
          <w:ilvl w:val="0"/>
          <w:numId w:val="12"/>
        </w:numPr>
        <w:autoSpaceDE w:val="0"/>
        <w:autoSpaceDN w:val="0"/>
        <w:ind w:left="426"/>
        <w:contextualSpacing/>
        <w:rPr>
          <w:sz w:val="20"/>
          <w:szCs w:val="20"/>
        </w:rPr>
      </w:pPr>
      <w:r w:rsidRPr="003162BA">
        <w:rPr>
          <w:sz w:val="20"/>
          <w:szCs w:val="20"/>
        </w:rPr>
        <w:t>Resolución 1277 de 2014: “Por medio de la cual se adopta la zonificación y el ordenamiento de la Reserva Forestal de la Amazonia establecida en la Ley 2 de 1959, en los departamentos de Amazonas, Cauca, Guainía, Putumayo y Vaupés, y se toman otras determinaciones”.</w:t>
      </w:r>
    </w:p>
    <w:p w:rsidR="003162BA" w:rsidRPr="003162BA" w:rsidRDefault="003162BA" w:rsidP="000547CB">
      <w:pPr>
        <w:ind w:left="-57"/>
        <w:rPr>
          <w:color w:val="000000"/>
          <w:szCs w:val="22"/>
        </w:rPr>
      </w:pPr>
      <w:r w:rsidRPr="003162BA">
        <w:rPr>
          <w:color w:val="000000"/>
          <w:szCs w:val="22"/>
        </w:rPr>
        <w:t>En cada una de estas Resoluciones fueron establecidas tres (3) categorías de usos o actividades permitidas para cada Reserva zonificada, incluyendo si se permite o no el aprovechamiento forestal.</w:t>
      </w:r>
      <w:r w:rsidR="007B1CC8">
        <w:rPr>
          <w:color w:val="000000"/>
          <w:szCs w:val="22"/>
        </w:rPr>
        <w:t xml:space="preserve"> </w:t>
      </w:r>
      <w:r w:rsidRPr="003162BA">
        <w:rPr>
          <w:color w:val="000000"/>
          <w:szCs w:val="22"/>
        </w:rPr>
        <w:t>Dichas categorías y los usos o actividades permitidas son las siguientes:</w:t>
      </w:r>
    </w:p>
    <w:p w:rsidR="003162BA" w:rsidRPr="00C76D30" w:rsidRDefault="003162BA" w:rsidP="00446ECB">
      <w:pPr>
        <w:pStyle w:val="Prrafodelista"/>
        <w:numPr>
          <w:ilvl w:val="0"/>
          <w:numId w:val="45"/>
        </w:numPr>
        <w:autoSpaceDE w:val="0"/>
        <w:autoSpaceDN w:val="0"/>
        <w:adjustRightInd w:val="0"/>
        <w:rPr>
          <w:i/>
          <w:color w:val="000000"/>
          <w:sz w:val="20"/>
          <w:szCs w:val="20"/>
        </w:rPr>
      </w:pPr>
      <w:r w:rsidRPr="00C76D30">
        <w:rPr>
          <w:b/>
          <w:color w:val="000000"/>
          <w:sz w:val="20"/>
          <w:szCs w:val="20"/>
        </w:rPr>
        <w:t>Zonas Tipo A:</w:t>
      </w:r>
      <w:r w:rsidRPr="00C76D30">
        <w:rPr>
          <w:color w:val="000000"/>
          <w:sz w:val="20"/>
          <w:szCs w:val="20"/>
        </w:rPr>
        <w:t xml:space="preserve"> Son zonas que garantizan el mantenimiento de los procesos ecológicos básicos necesarios para asegurar la oferta de servicios ecosistémicos, relacionados principalmente con la regulación hídrica y climática; la asimilación de contaminantes del aire y del agua;</w:t>
      </w:r>
      <w:r w:rsidR="007B1CC8" w:rsidRPr="00C76D30">
        <w:rPr>
          <w:color w:val="000000"/>
          <w:sz w:val="20"/>
          <w:szCs w:val="20"/>
        </w:rPr>
        <w:t xml:space="preserve"> </w:t>
      </w:r>
      <w:r w:rsidRPr="00C76D30">
        <w:rPr>
          <w:color w:val="000000"/>
          <w:sz w:val="20"/>
          <w:szCs w:val="20"/>
        </w:rPr>
        <w:t>la formación y protección del suelo; la protección de paisajes singulares y de patrimonio cultural; y</w:t>
      </w:r>
      <w:r w:rsidR="007B1CC8" w:rsidRPr="00C76D30">
        <w:rPr>
          <w:color w:val="000000"/>
          <w:sz w:val="20"/>
          <w:szCs w:val="20"/>
        </w:rPr>
        <w:t xml:space="preserve"> </w:t>
      </w:r>
      <w:r w:rsidRPr="00C76D30">
        <w:rPr>
          <w:color w:val="000000"/>
          <w:sz w:val="20"/>
          <w:szCs w:val="20"/>
        </w:rPr>
        <w:t>el soporte</w:t>
      </w:r>
      <w:r w:rsidR="007B1CC8" w:rsidRPr="00C76D30">
        <w:rPr>
          <w:color w:val="000000"/>
          <w:sz w:val="20"/>
          <w:szCs w:val="20"/>
        </w:rPr>
        <w:t xml:space="preserve"> </w:t>
      </w:r>
      <w:r w:rsidRPr="00C76D30">
        <w:rPr>
          <w:color w:val="000000"/>
          <w:sz w:val="20"/>
          <w:szCs w:val="20"/>
        </w:rPr>
        <w:t>a la</w:t>
      </w:r>
      <w:r w:rsidR="007B1CC8" w:rsidRPr="00C76D30">
        <w:rPr>
          <w:color w:val="000000"/>
          <w:sz w:val="20"/>
          <w:szCs w:val="20"/>
        </w:rPr>
        <w:t xml:space="preserve"> </w:t>
      </w:r>
      <w:r w:rsidRPr="00C76D30">
        <w:rPr>
          <w:color w:val="000000"/>
          <w:sz w:val="20"/>
          <w:szCs w:val="20"/>
        </w:rPr>
        <w:t>diversidad biológica. En esta zona los objetivos preferentes son: Conservación, restauración, recuperación y rehabilitación de coberturas boscosas; y estrategias de conectividad. Además,</w:t>
      </w:r>
      <w:r w:rsidR="007B1CC8" w:rsidRPr="00C76D30">
        <w:rPr>
          <w:color w:val="000000"/>
          <w:sz w:val="20"/>
          <w:szCs w:val="20"/>
        </w:rPr>
        <w:t xml:space="preserve"> </w:t>
      </w:r>
      <w:r w:rsidRPr="00C76D30">
        <w:rPr>
          <w:color w:val="000000"/>
          <w:sz w:val="20"/>
          <w:szCs w:val="20"/>
        </w:rPr>
        <w:t xml:space="preserve"> se puede llegar a considerar su inclusión en el portafolio de áreas de conservación (Nacional, Regional o Local)</w:t>
      </w:r>
      <w:r w:rsidR="007B1CC8" w:rsidRPr="00C76D30">
        <w:rPr>
          <w:color w:val="000000"/>
          <w:sz w:val="20"/>
          <w:szCs w:val="20"/>
        </w:rPr>
        <w:t xml:space="preserve"> </w:t>
      </w:r>
      <w:r w:rsidRPr="00C76D30">
        <w:rPr>
          <w:color w:val="000000"/>
          <w:sz w:val="20"/>
          <w:szCs w:val="20"/>
        </w:rPr>
        <w:t xml:space="preserve">que puede conllevar a la declaratoria de áreas protegidas una vez se surta el procedimiento respectivo. </w:t>
      </w:r>
    </w:p>
    <w:p w:rsidR="003162BA" w:rsidRPr="00C76D30" w:rsidRDefault="003162BA" w:rsidP="00446ECB">
      <w:pPr>
        <w:pStyle w:val="Prrafodelista"/>
        <w:numPr>
          <w:ilvl w:val="0"/>
          <w:numId w:val="45"/>
        </w:numPr>
        <w:autoSpaceDE w:val="0"/>
        <w:autoSpaceDN w:val="0"/>
        <w:adjustRightInd w:val="0"/>
        <w:rPr>
          <w:b/>
          <w:i/>
          <w:color w:val="000000"/>
          <w:sz w:val="20"/>
          <w:szCs w:val="20"/>
        </w:rPr>
      </w:pPr>
      <w:r w:rsidRPr="00C76D30">
        <w:rPr>
          <w:b/>
          <w:color w:val="000000"/>
          <w:sz w:val="20"/>
          <w:szCs w:val="20"/>
        </w:rPr>
        <w:t>Zonas Tipo B:</w:t>
      </w:r>
      <w:r w:rsidRPr="00C76D30">
        <w:rPr>
          <w:sz w:val="20"/>
          <w:szCs w:val="20"/>
        </w:rPr>
        <w:t xml:space="preserve"> Son z</w:t>
      </w:r>
      <w:r w:rsidRPr="00C76D30">
        <w:rPr>
          <w:color w:val="000000"/>
          <w:sz w:val="20"/>
          <w:szCs w:val="20"/>
        </w:rPr>
        <w:t>onas que se caracterizan por tener coberturas favorables para un manejo sostenible del recurso forestal mediante un enfoque de</w:t>
      </w:r>
      <w:r w:rsidR="007B1CC8" w:rsidRPr="00C76D30">
        <w:rPr>
          <w:color w:val="000000"/>
          <w:sz w:val="20"/>
          <w:szCs w:val="20"/>
        </w:rPr>
        <w:t xml:space="preserve"> </w:t>
      </w:r>
      <w:r w:rsidRPr="00C76D30">
        <w:rPr>
          <w:color w:val="000000"/>
          <w:sz w:val="20"/>
          <w:szCs w:val="20"/>
        </w:rPr>
        <w:t>ordenación forestal integral y la gestión integral de la biodiversidad y los</w:t>
      </w:r>
      <w:r w:rsidR="007B1CC8" w:rsidRPr="00C76D30">
        <w:rPr>
          <w:color w:val="000000"/>
          <w:sz w:val="20"/>
          <w:szCs w:val="20"/>
        </w:rPr>
        <w:t xml:space="preserve"> </w:t>
      </w:r>
      <w:r w:rsidRPr="00C76D30">
        <w:rPr>
          <w:color w:val="000000"/>
          <w:sz w:val="20"/>
          <w:szCs w:val="20"/>
        </w:rPr>
        <w:t>servicios ecosistémicos. Son zonas prioritarias para la ordenación forestal regional, sin desconocer la necesidad de realizar también la ordenación forestal regional en las zonas Tipo A y Tipo C.</w:t>
      </w:r>
      <w:r w:rsidR="007B1CC8" w:rsidRPr="00C76D30">
        <w:rPr>
          <w:color w:val="000000"/>
          <w:sz w:val="20"/>
          <w:szCs w:val="20"/>
        </w:rPr>
        <w:t xml:space="preserve"> </w:t>
      </w:r>
      <w:r w:rsidRPr="00C76D30">
        <w:rPr>
          <w:color w:val="000000"/>
          <w:sz w:val="20"/>
          <w:szCs w:val="20"/>
        </w:rPr>
        <w:t>Esencialmente tienen objetivos de</w:t>
      </w:r>
      <w:r w:rsidR="007B1CC8" w:rsidRPr="00C76D30">
        <w:rPr>
          <w:color w:val="000000"/>
          <w:sz w:val="20"/>
          <w:szCs w:val="20"/>
        </w:rPr>
        <w:t xml:space="preserve"> </w:t>
      </w:r>
      <w:r w:rsidRPr="00C76D30">
        <w:rPr>
          <w:color w:val="000000"/>
          <w:sz w:val="20"/>
          <w:szCs w:val="20"/>
        </w:rPr>
        <w:t xml:space="preserve">aprovechamiento de bienes maderables y no maderables, servicios de regulación y prevención del riesgo, desarrollo de Proyectos REDD y Proyectos MDL. </w:t>
      </w:r>
    </w:p>
    <w:p w:rsidR="003162BA" w:rsidRPr="00C76D30" w:rsidRDefault="003162BA" w:rsidP="00446ECB">
      <w:pPr>
        <w:pStyle w:val="Prrafodelista"/>
        <w:numPr>
          <w:ilvl w:val="0"/>
          <w:numId w:val="45"/>
        </w:numPr>
        <w:autoSpaceDE w:val="0"/>
        <w:autoSpaceDN w:val="0"/>
        <w:adjustRightInd w:val="0"/>
        <w:rPr>
          <w:i/>
          <w:color w:val="000000"/>
          <w:sz w:val="20"/>
          <w:szCs w:val="20"/>
        </w:rPr>
      </w:pPr>
      <w:r w:rsidRPr="00C76D30">
        <w:rPr>
          <w:b/>
          <w:color w:val="000000"/>
          <w:sz w:val="20"/>
          <w:szCs w:val="20"/>
        </w:rPr>
        <w:t>Zonas Tipo C:</w:t>
      </w:r>
      <w:r w:rsidRPr="00C76D30">
        <w:rPr>
          <w:color w:val="000000"/>
          <w:sz w:val="20"/>
          <w:szCs w:val="20"/>
        </w:rPr>
        <w:t xml:space="preserve"> Son zonas que por sus características biofísicas ofrecen condiciones para el desarrollo de actividades productivas agroforestales, silvopastoriles y otras compatibles con los objetivos de la Reserva Forestal,</w:t>
      </w:r>
      <w:r w:rsidR="007B1CC8" w:rsidRPr="00C76D30">
        <w:rPr>
          <w:color w:val="000000"/>
          <w:sz w:val="20"/>
          <w:szCs w:val="20"/>
        </w:rPr>
        <w:t xml:space="preserve"> </w:t>
      </w:r>
      <w:r w:rsidRPr="00C76D30">
        <w:rPr>
          <w:color w:val="000000"/>
          <w:sz w:val="20"/>
          <w:szCs w:val="20"/>
        </w:rPr>
        <w:t xml:space="preserve">que deben incorporar el componente forestal, y que no impliquen la reducción de las áreas de bosque natural presentes en sus diferentes estados sucesionales. Esencialmente tienen objetivos de Desarrollo de actividades productivas con Lineamientos de manejo ambiental, Mantenimiento de rondas hídricas y servicios ecosistémicos, entre otros fines. </w:t>
      </w:r>
    </w:p>
    <w:p w:rsidR="003162BA" w:rsidRPr="003162BA" w:rsidRDefault="003162BA" w:rsidP="00446ECB">
      <w:pPr>
        <w:widowControl w:val="0"/>
        <w:numPr>
          <w:ilvl w:val="0"/>
          <w:numId w:val="11"/>
        </w:numPr>
        <w:ind w:left="426" w:hanging="426"/>
        <w:contextualSpacing/>
        <w:rPr>
          <w:b/>
          <w:color w:val="000000"/>
          <w:szCs w:val="22"/>
        </w:rPr>
      </w:pPr>
      <w:r w:rsidRPr="003162BA">
        <w:rPr>
          <w:b/>
          <w:color w:val="000000"/>
          <w:szCs w:val="22"/>
        </w:rPr>
        <w:t>Resolución 0438 de 2001: “Por la cual se establece el Salvoconducto Único Nacional para la movilización de especímenes de la diversidad biológica”.</w:t>
      </w:r>
    </w:p>
    <w:p w:rsidR="003162BA" w:rsidRPr="003162BA" w:rsidRDefault="003162BA" w:rsidP="000547CB">
      <w:pPr>
        <w:rPr>
          <w:color w:val="000000"/>
          <w:szCs w:val="22"/>
        </w:rPr>
      </w:pPr>
      <w:r w:rsidRPr="003162BA">
        <w:rPr>
          <w:color w:val="000000"/>
          <w:szCs w:val="22"/>
        </w:rPr>
        <w:t>Con esta resolución se regula lo referente al salvoconducto para la movilización de productos forestales provenientes de aprovechamientos legales, desde el sitio de origen (cosecha) hasta el destino final (comprador final, depósito, industria u otro similar). Incluye la creación de un salvoconducto único para todas las autoridades ambientales regionales y la expedición y manejo de salvoconductos en línea, con base en una plataforma informática, la cual se haya en proceso de implementación.</w:t>
      </w:r>
      <w:r w:rsidR="007B1CC8">
        <w:rPr>
          <w:color w:val="000000"/>
          <w:szCs w:val="22"/>
        </w:rPr>
        <w:t xml:space="preserve"> </w:t>
      </w:r>
    </w:p>
    <w:p w:rsidR="00C76D30" w:rsidRDefault="00C76D30">
      <w:pPr>
        <w:jc w:val="left"/>
        <w:rPr>
          <w:b/>
          <w:szCs w:val="22"/>
        </w:rPr>
      </w:pPr>
      <w:r>
        <w:rPr>
          <w:b/>
          <w:szCs w:val="22"/>
        </w:rPr>
        <w:br w:type="page"/>
      </w:r>
    </w:p>
    <w:p w:rsidR="003162BA" w:rsidRPr="003162BA" w:rsidRDefault="003162BA" w:rsidP="00446ECB">
      <w:pPr>
        <w:widowControl w:val="0"/>
        <w:numPr>
          <w:ilvl w:val="0"/>
          <w:numId w:val="11"/>
        </w:numPr>
        <w:ind w:left="426" w:hanging="426"/>
        <w:contextualSpacing/>
        <w:rPr>
          <w:b/>
          <w:szCs w:val="22"/>
        </w:rPr>
      </w:pPr>
      <w:r w:rsidRPr="003162BA">
        <w:rPr>
          <w:b/>
          <w:szCs w:val="22"/>
        </w:rPr>
        <w:lastRenderedPageBreak/>
        <w:t>Resolución Numero 1367 de 2000:</w:t>
      </w:r>
      <w:r w:rsidRPr="003162BA">
        <w:rPr>
          <w:szCs w:val="22"/>
        </w:rPr>
        <w:t xml:space="preserve"> “</w:t>
      </w:r>
      <w:r w:rsidRPr="003162BA">
        <w:rPr>
          <w:b/>
          <w:szCs w:val="22"/>
        </w:rPr>
        <w:t>Por la cual se establece el procedimiento para las autorizaciones de importación y exportación de especímenes de la diversidad biológica que no se encuentran listadas en los apéndices de la Convención CITES”</w:t>
      </w:r>
    </w:p>
    <w:p w:rsidR="003162BA" w:rsidRPr="003162BA" w:rsidRDefault="003162BA" w:rsidP="000547CB">
      <w:pPr>
        <w:rPr>
          <w:szCs w:val="22"/>
        </w:rPr>
      </w:pPr>
      <w:r w:rsidRPr="003162BA">
        <w:rPr>
          <w:szCs w:val="22"/>
        </w:rPr>
        <w:t>Las disposiciones más relevantes de esta norma son las siguientes:</w:t>
      </w:r>
    </w:p>
    <w:p w:rsidR="003162BA" w:rsidRPr="003162BA" w:rsidRDefault="003162BA" w:rsidP="000547CB">
      <w:pPr>
        <w:rPr>
          <w:szCs w:val="22"/>
        </w:rPr>
      </w:pPr>
      <w:r w:rsidRPr="003162BA">
        <w:rPr>
          <w:szCs w:val="22"/>
        </w:rPr>
        <w:t xml:space="preserve">Artículo 1. Definiciones. </w:t>
      </w:r>
    </w:p>
    <w:p w:rsidR="003162BA" w:rsidRPr="003162BA" w:rsidRDefault="003162BA" w:rsidP="000547CB">
      <w:pPr>
        <w:rPr>
          <w:bCs/>
          <w:i/>
          <w:szCs w:val="22"/>
        </w:rPr>
      </w:pPr>
      <w:r w:rsidRPr="003162BA">
        <w:rPr>
          <w:szCs w:val="22"/>
        </w:rPr>
        <w:t xml:space="preserve">Artículo 2. Ámbito de Aplicación. </w:t>
      </w:r>
    </w:p>
    <w:p w:rsidR="003162BA" w:rsidRPr="003162BA" w:rsidRDefault="003162BA" w:rsidP="000547CB">
      <w:pPr>
        <w:rPr>
          <w:bCs/>
          <w:szCs w:val="22"/>
        </w:rPr>
      </w:pPr>
      <w:r w:rsidRPr="003162BA">
        <w:rPr>
          <w:szCs w:val="22"/>
        </w:rPr>
        <w:t>Artículo 9. Control y Seguimiento</w:t>
      </w:r>
    </w:p>
    <w:p w:rsidR="003162BA" w:rsidRPr="003162BA" w:rsidRDefault="003162BA" w:rsidP="00446ECB">
      <w:pPr>
        <w:widowControl w:val="0"/>
        <w:numPr>
          <w:ilvl w:val="0"/>
          <w:numId w:val="11"/>
        </w:numPr>
        <w:ind w:left="426" w:hanging="426"/>
        <w:contextualSpacing/>
        <w:rPr>
          <w:b/>
          <w:szCs w:val="22"/>
        </w:rPr>
      </w:pPr>
      <w:r w:rsidRPr="003162BA">
        <w:rPr>
          <w:b/>
          <w:bCs/>
          <w:szCs w:val="22"/>
        </w:rPr>
        <w:t>Resolución 454 de 2001: “</w:t>
      </w:r>
      <w:r w:rsidRPr="003162BA">
        <w:rPr>
          <w:b/>
          <w:szCs w:val="22"/>
        </w:rPr>
        <w:t>Por la cual se reglamenta la certificación a la que alude el parágrafo primero del Artículo </w:t>
      </w:r>
      <w:hyperlink r:id="rId15" w:anchor="7" w:history="1">
        <w:r w:rsidRPr="003162BA">
          <w:rPr>
            <w:b/>
            <w:szCs w:val="22"/>
            <w:u w:val="single"/>
          </w:rPr>
          <w:t>7</w:t>
        </w:r>
      </w:hyperlink>
      <w:r w:rsidRPr="003162BA">
        <w:rPr>
          <w:b/>
          <w:szCs w:val="22"/>
        </w:rPr>
        <w:t>o. de la Resolución número 1367 de 2000 del Ministerio del Medio Ambiente”</w:t>
      </w:r>
    </w:p>
    <w:p w:rsidR="003162BA" w:rsidRPr="003162BA" w:rsidRDefault="003162BA" w:rsidP="000547CB">
      <w:pPr>
        <w:rPr>
          <w:szCs w:val="22"/>
        </w:rPr>
      </w:pPr>
      <w:r w:rsidRPr="003162BA">
        <w:rPr>
          <w:szCs w:val="22"/>
        </w:rPr>
        <w:t>Esta norma define conceptos sobre especies y especímenes para las industrias y empresas forestales mediante la siguiente reglamentación:</w:t>
      </w:r>
    </w:p>
    <w:p w:rsidR="003162BA" w:rsidRPr="003162BA" w:rsidRDefault="003162BA" w:rsidP="000547CB">
      <w:pPr>
        <w:rPr>
          <w:szCs w:val="22"/>
        </w:rPr>
      </w:pPr>
      <w:r w:rsidRPr="003162BA">
        <w:rPr>
          <w:szCs w:val="22"/>
        </w:rPr>
        <w:t xml:space="preserve">Artículo 1o. Definiciones. </w:t>
      </w:r>
    </w:p>
    <w:p w:rsidR="003162BA" w:rsidRPr="003162BA" w:rsidRDefault="003162BA" w:rsidP="000547CB">
      <w:pPr>
        <w:rPr>
          <w:szCs w:val="22"/>
        </w:rPr>
      </w:pPr>
      <w:r w:rsidRPr="003162BA">
        <w:rPr>
          <w:szCs w:val="22"/>
        </w:rPr>
        <w:t xml:space="preserve">Artículo 2o. Ámbito de Aplicación. </w:t>
      </w:r>
    </w:p>
    <w:p w:rsidR="003162BA" w:rsidRPr="003162BA" w:rsidRDefault="003162BA" w:rsidP="000547CB">
      <w:pPr>
        <w:rPr>
          <w:i/>
          <w:szCs w:val="22"/>
        </w:rPr>
      </w:pPr>
      <w:r w:rsidRPr="003162BA">
        <w:rPr>
          <w:szCs w:val="22"/>
        </w:rPr>
        <w:t xml:space="preserve">Artículo 3o. Obligaciones. </w:t>
      </w:r>
    </w:p>
    <w:p w:rsidR="003162BA" w:rsidRPr="003162BA" w:rsidRDefault="003162BA" w:rsidP="00446ECB">
      <w:pPr>
        <w:widowControl w:val="0"/>
        <w:numPr>
          <w:ilvl w:val="0"/>
          <w:numId w:val="11"/>
        </w:numPr>
        <w:ind w:left="426" w:hanging="426"/>
        <w:contextualSpacing/>
        <w:rPr>
          <w:rFonts w:eastAsia="Calibri"/>
          <w:b/>
          <w:bCs/>
          <w:color w:val="000000"/>
          <w:szCs w:val="22"/>
          <w:shd w:val="clear" w:color="auto" w:fill="FFFFFF"/>
          <w:lang w:val="es-CO"/>
        </w:rPr>
      </w:pPr>
      <w:r w:rsidRPr="003162BA">
        <w:rPr>
          <w:rFonts w:eastAsia="Calibri"/>
          <w:b/>
          <w:szCs w:val="22"/>
        </w:rPr>
        <w:t>Ley 1333 de 2009: “P</w:t>
      </w:r>
      <w:r w:rsidRPr="003162BA">
        <w:rPr>
          <w:rFonts w:eastAsia="Calibri"/>
          <w:b/>
          <w:bCs/>
          <w:color w:val="000000"/>
          <w:szCs w:val="22"/>
          <w:shd w:val="clear" w:color="auto" w:fill="FFFFFF"/>
          <w:lang w:val="es-CO"/>
        </w:rPr>
        <w:t>or la cual se establece el procedimiento sancionatorio ambiental y se dictan otras disposiciones”.</w:t>
      </w:r>
    </w:p>
    <w:p w:rsidR="003162BA" w:rsidRPr="003162BA" w:rsidRDefault="003162BA" w:rsidP="000547CB">
      <w:pPr>
        <w:rPr>
          <w:rFonts w:eastAsia="Calibri"/>
          <w:szCs w:val="22"/>
        </w:rPr>
      </w:pPr>
      <w:r w:rsidRPr="003162BA">
        <w:rPr>
          <w:rFonts w:eastAsia="Calibri"/>
          <w:bCs/>
          <w:color w:val="000000"/>
          <w:szCs w:val="22"/>
          <w:shd w:val="clear" w:color="auto" w:fill="FFFFFF"/>
          <w:lang w:val="es-CO"/>
        </w:rPr>
        <w:t>Esta Ley</w:t>
      </w:r>
      <w:r w:rsidRPr="003162BA">
        <w:rPr>
          <w:rFonts w:eastAsia="Calibri"/>
          <w:szCs w:val="22"/>
        </w:rPr>
        <w:t xml:space="preserve"> confiere</w:t>
      </w:r>
      <w:r w:rsidR="007B1CC8">
        <w:rPr>
          <w:rFonts w:eastAsia="Calibri"/>
          <w:szCs w:val="22"/>
        </w:rPr>
        <w:t xml:space="preserve"> </w:t>
      </w:r>
      <w:r w:rsidRPr="003162BA">
        <w:rPr>
          <w:rFonts w:eastAsia="Calibri"/>
          <w:szCs w:val="22"/>
        </w:rPr>
        <w:t>facultades a las Autoridades Ambientales Regionales para hacer seguimiento y control y, en caso de ser necesario, ejercer pode sancionatorio en material ambiental, lo cual incluye</w:t>
      </w:r>
      <w:r w:rsidR="007B1CC8">
        <w:rPr>
          <w:rFonts w:eastAsia="Calibri"/>
          <w:szCs w:val="22"/>
        </w:rPr>
        <w:t xml:space="preserve"> </w:t>
      </w:r>
      <w:r w:rsidRPr="003162BA">
        <w:rPr>
          <w:rFonts w:eastAsia="Calibri"/>
          <w:szCs w:val="22"/>
        </w:rPr>
        <w:t xml:space="preserve"> al caso de los aprovechamientos forestales realizados en virtud de permisos o autorizaciones otorgadas por las mismas a los usuarios de los bosques naturales; así como a los aprovechamiento forestales ilegales. De esta norma cabe destacar los siguientes aspectos:</w:t>
      </w:r>
    </w:p>
    <w:p w:rsidR="003162BA" w:rsidRPr="003162BA" w:rsidRDefault="003162BA" w:rsidP="000547CB">
      <w:pPr>
        <w:rPr>
          <w:b/>
          <w:bCs/>
          <w:color w:val="000000"/>
          <w:szCs w:val="22"/>
          <w:shd w:val="clear" w:color="auto" w:fill="FFFFFF"/>
        </w:rPr>
      </w:pPr>
      <w:r w:rsidRPr="003162BA">
        <w:rPr>
          <w:b/>
          <w:bCs/>
          <w:color w:val="000000"/>
          <w:szCs w:val="22"/>
          <w:shd w:val="clear" w:color="auto" w:fill="FFFFFF"/>
        </w:rPr>
        <w:t xml:space="preserve">“T I T U L O I. DISPOSICIONES GENERALES. </w:t>
      </w:r>
    </w:p>
    <w:p w:rsidR="003162BA" w:rsidRPr="003162BA" w:rsidRDefault="003162BA" w:rsidP="000547CB">
      <w:pPr>
        <w:rPr>
          <w:b/>
          <w:bCs/>
          <w:color w:val="000000"/>
          <w:szCs w:val="22"/>
        </w:rPr>
      </w:pPr>
      <w:r w:rsidRPr="003162BA">
        <w:rPr>
          <w:bCs/>
          <w:color w:val="000000"/>
          <w:szCs w:val="22"/>
        </w:rPr>
        <w:t>Artículo 1°.</w:t>
      </w:r>
      <w:r w:rsidRPr="003162BA">
        <w:rPr>
          <w:b/>
          <w:bCs/>
          <w:color w:val="000000"/>
          <w:szCs w:val="22"/>
        </w:rPr>
        <w:t> </w:t>
      </w:r>
      <w:r w:rsidRPr="003162BA">
        <w:rPr>
          <w:iCs/>
          <w:color w:val="000000"/>
          <w:szCs w:val="22"/>
        </w:rPr>
        <w:t>Titularidad de la potestad sancionatoria en materia ambiental.</w:t>
      </w:r>
      <w:r w:rsidR="007B1CC8">
        <w:rPr>
          <w:iCs/>
          <w:color w:val="000000"/>
          <w:szCs w:val="22"/>
        </w:rPr>
        <w:t xml:space="preserve"> </w:t>
      </w:r>
    </w:p>
    <w:p w:rsidR="003162BA" w:rsidRPr="003162BA" w:rsidRDefault="003162BA" w:rsidP="000547CB">
      <w:pPr>
        <w:shd w:val="clear" w:color="auto" w:fill="FFFFFF"/>
        <w:rPr>
          <w:color w:val="000000"/>
          <w:szCs w:val="22"/>
        </w:rPr>
      </w:pPr>
      <w:r w:rsidRPr="003162BA">
        <w:rPr>
          <w:bCs/>
          <w:color w:val="000000"/>
          <w:szCs w:val="22"/>
        </w:rPr>
        <w:t>Artículo 2°. </w:t>
      </w:r>
      <w:r w:rsidRPr="003162BA">
        <w:rPr>
          <w:iCs/>
          <w:color w:val="000000"/>
          <w:szCs w:val="22"/>
        </w:rPr>
        <w:t>Facultad a prevención. </w:t>
      </w:r>
    </w:p>
    <w:p w:rsidR="003162BA" w:rsidRPr="003162BA" w:rsidRDefault="003162BA" w:rsidP="000547CB">
      <w:pPr>
        <w:shd w:val="clear" w:color="auto" w:fill="FFFFFF"/>
        <w:rPr>
          <w:bCs/>
          <w:color w:val="000000"/>
          <w:szCs w:val="22"/>
        </w:rPr>
      </w:pPr>
      <w:r w:rsidRPr="003162BA">
        <w:rPr>
          <w:bCs/>
          <w:color w:val="000000"/>
          <w:szCs w:val="22"/>
        </w:rPr>
        <w:t>Artículo 3°. </w:t>
      </w:r>
      <w:r w:rsidRPr="003162BA">
        <w:rPr>
          <w:iCs/>
          <w:color w:val="000000"/>
          <w:szCs w:val="22"/>
        </w:rPr>
        <w:t>Principios rectores.</w:t>
      </w:r>
      <w:r w:rsidR="007B1CC8">
        <w:rPr>
          <w:iCs/>
          <w:color w:val="000000"/>
          <w:szCs w:val="22"/>
        </w:rPr>
        <w:t xml:space="preserve"> </w:t>
      </w:r>
    </w:p>
    <w:p w:rsidR="003162BA" w:rsidRPr="003162BA" w:rsidRDefault="003162BA" w:rsidP="000547CB">
      <w:pPr>
        <w:shd w:val="clear" w:color="auto" w:fill="FFFFFF"/>
        <w:rPr>
          <w:color w:val="000000"/>
          <w:szCs w:val="22"/>
        </w:rPr>
      </w:pPr>
      <w:r w:rsidRPr="003162BA">
        <w:rPr>
          <w:bCs/>
          <w:color w:val="000000"/>
          <w:szCs w:val="22"/>
        </w:rPr>
        <w:t>Artículo 4°. </w:t>
      </w:r>
      <w:r w:rsidRPr="003162BA">
        <w:rPr>
          <w:iCs/>
          <w:color w:val="000000"/>
          <w:szCs w:val="22"/>
        </w:rPr>
        <w:t>Funciones de la sanción y de las medidas preventivas en materia ambiental. </w:t>
      </w:r>
    </w:p>
    <w:p w:rsidR="003162BA" w:rsidRPr="003162BA" w:rsidRDefault="003162BA" w:rsidP="00446ECB">
      <w:pPr>
        <w:widowControl w:val="0"/>
        <w:numPr>
          <w:ilvl w:val="0"/>
          <w:numId w:val="11"/>
        </w:numPr>
        <w:ind w:left="426" w:hanging="426"/>
        <w:contextualSpacing/>
        <w:rPr>
          <w:b/>
          <w:szCs w:val="22"/>
          <w:lang w:val="sv-SE" w:eastAsia="es-ES_tradnl"/>
        </w:rPr>
      </w:pPr>
      <w:r w:rsidRPr="003162BA">
        <w:rPr>
          <w:b/>
          <w:szCs w:val="22"/>
          <w:lang w:val="sv-SE" w:eastAsia="es-ES_tradnl"/>
        </w:rPr>
        <w:t xml:space="preserve">Decreto 3678 de 2010: ”Por el cual se establecen los criterios para la imposición de las sanciones consagradas en el artículo 40 de la Ley 1333 del 21 de julio de 2009 y se toman otras determinaciones”. </w:t>
      </w:r>
    </w:p>
    <w:p w:rsidR="003162BA" w:rsidRPr="003162BA" w:rsidRDefault="003162BA" w:rsidP="000547CB">
      <w:pPr>
        <w:rPr>
          <w:szCs w:val="22"/>
          <w:lang w:val="sv-SE" w:eastAsia="es-ES_tradnl"/>
        </w:rPr>
      </w:pPr>
      <w:r w:rsidRPr="003162BA">
        <w:rPr>
          <w:szCs w:val="22"/>
          <w:lang w:val="sv-SE" w:eastAsia="es-ES_tradnl"/>
        </w:rPr>
        <w:t>Esta norma otorga facultades sancionatorias a las Autoridades Ambientales Regionales para proceder en el caso que las empresas e industrias forestales incurran en infracciones en materia ambiental. Se destacan, entre otros, los siguientes apartes de esta norma:</w:t>
      </w:r>
    </w:p>
    <w:p w:rsidR="003162BA" w:rsidRPr="003162BA" w:rsidRDefault="003162BA" w:rsidP="000547CB">
      <w:pPr>
        <w:rPr>
          <w:szCs w:val="22"/>
          <w:lang w:val="sv-SE" w:eastAsia="es-ES_tradnl"/>
        </w:rPr>
      </w:pPr>
      <w:r w:rsidRPr="003162BA">
        <w:rPr>
          <w:szCs w:val="22"/>
          <w:lang w:val="sv-SE" w:eastAsia="es-ES_tradnl"/>
        </w:rPr>
        <w:t xml:space="preserve">Artículo 2º. Tipos de sanción. </w:t>
      </w:r>
    </w:p>
    <w:p w:rsidR="003162BA" w:rsidRDefault="003162BA" w:rsidP="000547CB">
      <w:pPr>
        <w:rPr>
          <w:szCs w:val="22"/>
          <w:lang w:val="sv-SE" w:eastAsia="es-ES_tradnl"/>
        </w:rPr>
      </w:pPr>
      <w:r w:rsidRPr="003162BA">
        <w:rPr>
          <w:szCs w:val="22"/>
          <w:lang w:val="sv-SE" w:eastAsia="es-ES_tradnl"/>
        </w:rPr>
        <w:t xml:space="preserve">Artículo 8º. Decomiso definitivo de especímenes de especies silvestres, exóticas, productos maderables y productos no maderables de la fauna y la flora, elementos, medios o implementos utilizados para cometer infracciones ambientales. </w:t>
      </w:r>
    </w:p>
    <w:p w:rsidR="00CD09BB" w:rsidRDefault="00CD09BB" w:rsidP="00446ECB">
      <w:pPr>
        <w:pStyle w:val="Prrafodelista"/>
        <w:numPr>
          <w:ilvl w:val="0"/>
          <w:numId w:val="13"/>
        </w:numPr>
        <w:ind w:left="426"/>
        <w:rPr>
          <w:rFonts w:cs="Arial"/>
          <w:b/>
          <w:szCs w:val="22"/>
        </w:rPr>
      </w:pPr>
      <w:r w:rsidRPr="00CD09BB">
        <w:rPr>
          <w:rFonts w:cs="Arial"/>
          <w:b/>
          <w:szCs w:val="22"/>
        </w:rPr>
        <w:t>Decreto No. 1390 de 2018. "Por el cual se adiciona un Capítulo al Título 9, de la Parte 2, del Libro 2, del Decreto 1076 de 2015, Decreto Único Reglamentario del Sector Ambiente y Desarrollo Sostenible, en lo relacionado con la Tasa Compensatoria por Aprovechamiento Forestal Maderable en bosques naturales y se dictan otras disposiciones".</w:t>
      </w:r>
    </w:p>
    <w:p w:rsidR="004B4EF4" w:rsidRPr="004B4EF4" w:rsidRDefault="004B4EF4" w:rsidP="00446ECB">
      <w:pPr>
        <w:pStyle w:val="Prrafodelista"/>
        <w:numPr>
          <w:ilvl w:val="0"/>
          <w:numId w:val="13"/>
        </w:numPr>
        <w:ind w:left="426" w:hanging="426"/>
        <w:rPr>
          <w:rFonts w:cs="Arial"/>
          <w:b/>
          <w:szCs w:val="22"/>
        </w:rPr>
      </w:pPr>
      <w:r w:rsidRPr="004B4EF4">
        <w:rPr>
          <w:rFonts w:cs="Arial"/>
          <w:b/>
          <w:szCs w:val="22"/>
        </w:rPr>
        <w:t xml:space="preserve">Decreto 1655 de 2017. </w:t>
      </w:r>
      <w:r w:rsidRPr="004B4EF4">
        <w:rPr>
          <w:rFonts w:cs="Arial"/>
          <w:szCs w:val="22"/>
        </w:rPr>
        <w:t xml:space="preserve">“Por medio del cual se adiciona al Libro 2, Parte 2, Título 8, Capítulo 9 del Decreto número 1076 de 2015, cinco nuevas secciones en el sentido de establecer la organización y funcionamiento del Sistema Nacional de Información Forestal, el Inventario Forestal Nacional y el Sistema de Monitoreo de Bosques y Carbono que hacen parte del Sistema de Información Ambiental para Colombia, y se dictan otras disposiciones”. </w:t>
      </w:r>
    </w:p>
    <w:p w:rsidR="003162BA" w:rsidRPr="003162BA" w:rsidRDefault="003162BA" w:rsidP="000547CB">
      <w:pPr>
        <w:rPr>
          <w:b/>
          <w:color w:val="000000"/>
          <w:szCs w:val="22"/>
        </w:rPr>
      </w:pPr>
      <w:r w:rsidRPr="003162BA">
        <w:rPr>
          <w:b/>
          <w:color w:val="000000"/>
          <w:szCs w:val="22"/>
        </w:rPr>
        <w:t>1</w:t>
      </w:r>
      <w:r w:rsidR="00E75467">
        <w:rPr>
          <w:b/>
          <w:color w:val="000000"/>
          <w:szCs w:val="22"/>
        </w:rPr>
        <w:t>3</w:t>
      </w:r>
      <w:r w:rsidRPr="003162BA">
        <w:rPr>
          <w:b/>
          <w:color w:val="000000"/>
          <w:szCs w:val="22"/>
        </w:rPr>
        <w:t>.1.2 Políticas</w:t>
      </w:r>
    </w:p>
    <w:p w:rsidR="003162BA" w:rsidRPr="003162BA" w:rsidRDefault="003162BA" w:rsidP="00446ECB">
      <w:pPr>
        <w:widowControl w:val="0"/>
        <w:numPr>
          <w:ilvl w:val="0"/>
          <w:numId w:val="11"/>
        </w:numPr>
        <w:ind w:left="426" w:hanging="426"/>
        <w:contextualSpacing/>
        <w:rPr>
          <w:b/>
          <w:color w:val="000000"/>
          <w:szCs w:val="22"/>
        </w:rPr>
      </w:pPr>
      <w:r w:rsidRPr="003162BA">
        <w:rPr>
          <w:b/>
          <w:color w:val="000000"/>
          <w:szCs w:val="22"/>
        </w:rPr>
        <w:lastRenderedPageBreak/>
        <w:t>Política de Bosques. CONPES</w:t>
      </w:r>
      <w:r w:rsidRPr="003162BA">
        <w:rPr>
          <w:b/>
          <w:color w:val="000000"/>
          <w:szCs w:val="22"/>
          <w:vertAlign w:val="superscript"/>
        </w:rPr>
        <w:footnoteReference w:id="26"/>
      </w:r>
      <w:r w:rsidR="007B1CC8">
        <w:rPr>
          <w:b/>
          <w:color w:val="000000"/>
          <w:szCs w:val="22"/>
        </w:rPr>
        <w:t xml:space="preserve"> </w:t>
      </w:r>
      <w:r w:rsidRPr="003162BA">
        <w:rPr>
          <w:b/>
          <w:color w:val="000000"/>
          <w:szCs w:val="22"/>
        </w:rPr>
        <w:t>2834 de 1996.</w:t>
      </w:r>
    </w:p>
    <w:p w:rsidR="003162BA" w:rsidRPr="003162BA" w:rsidRDefault="003162BA" w:rsidP="000547CB">
      <w:pPr>
        <w:contextualSpacing/>
        <w:rPr>
          <w:color w:val="000000"/>
          <w:szCs w:val="22"/>
        </w:rPr>
      </w:pPr>
      <w:r w:rsidRPr="003162BA">
        <w:rPr>
          <w:color w:val="000000"/>
          <w:szCs w:val="22"/>
        </w:rPr>
        <w:t>La Política de Bosques tiene como objetivo general lograr el uso sostenible de los bosques, con el fin de conservarlos, consolidar la incorporación del sector forestal en la economía nacional y contribuir al mejoramiento de la calidad de vida de la población. Para alcanzar estos propósitos se formulan cuatro estrategias fundamentales que son:</w:t>
      </w:r>
    </w:p>
    <w:p w:rsidR="003162BA" w:rsidRPr="003162BA" w:rsidRDefault="003162BA" w:rsidP="000547CB">
      <w:pPr>
        <w:rPr>
          <w:color w:val="000000"/>
          <w:sz w:val="20"/>
          <w:szCs w:val="20"/>
        </w:rPr>
      </w:pPr>
      <w:r w:rsidRPr="003162BA">
        <w:rPr>
          <w:color w:val="000000"/>
          <w:sz w:val="20"/>
          <w:szCs w:val="20"/>
        </w:rPr>
        <w:t>1ª) Modernizar el sistema de administración de bosques,</w:t>
      </w:r>
    </w:p>
    <w:p w:rsidR="003162BA" w:rsidRPr="003162BA" w:rsidRDefault="003162BA" w:rsidP="000547CB">
      <w:pPr>
        <w:rPr>
          <w:color w:val="000000"/>
          <w:sz w:val="20"/>
          <w:szCs w:val="20"/>
        </w:rPr>
      </w:pPr>
      <w:r w:rsidRPr="003162BA">
        <w:rPr>
          <w:color w:val="000000"/>
          <w:sz w:val="20"/>
          <w:szCs w:val="20"/>
        </w:rPr>
        <w:t>2ª) Conservar recuperar y usar los bosques naturales,</w:t>
      </w:r>
    </w:p>
    <w:p w:rsidR="003162BA" w:rsidRPr="003162BA" w:rsidRDefault="003162BA" w:rsidP="000547CB">
      <w:pPr>
        <w:rPr>
          <w:color w:val="000000"/>
          <w:sz w:val="20"/>
          <w:szCs w:val="20"/>
        </w:rPr>
      </w:pPr>
      <w:r w:rsidRPr="003162BA">
        <w:rPr>
          <w:color w:val="000000"/>
          <w:sz w:val="20"/>
          <w:szCs w:val="20"/>
        </w:rPr>
        <w:t>3ª) Fortalecer los instrumentos de apoyo y</w:t>
      </w:r>
    </w:p>
    <w:p w:rsidR="003162BA" w:rsidRPr="003162BA" w:rsidRDefault="003162BA" w:rsidP="000547CB">
      <w:pPr>
        <w:rPr>
          <w:color w:val="000000"/>
          <w:sz w:val="20"/>
          <w:szCs w:val="20"/>
        </w:rPr>
      </w:pPr>
      <w:r w:rsidRPr="003162BA">
        <w:rPr>
          <w:color w:val="000000"/>
          <w:sz w:val="20"/>
          <w:szCs w:val="20"/>
        </w:rPr>
        <w:t>4ª) Consolidar la posición internacional.</w:t>
      </w:r>
    </w:p>
    <w:p w:rsidR="003162BA" w:rsidRPr="003162BA" w:rsidRDefault="003162BA" w:rsidP="000547CB">
      <w:pPr>
        <w:contextualSpacing/>
        <w:rPr>
          <w:color w:val="000000"/>
          <w:szCs w:val="22"/>
        </w:rPr>
      </w:pPr>
      <w:r w:rsidRPr="003162BA">
        <w:rPr>
          <w:color w:val="000000"/>
          <w:szCs w:val="22"/>
        </w:rPr>
        <w:t>En su momento, las estrategias referidas brindaban al tema un novedoso marco nacional que se estimaba conllevaría a un giro radical en las tendencias de manejo forestal existentes, el cual debería ser desarrollado regionalmente por las Corporaciones, de acuerdo con las condiciones particulares de cada región. Igualmente, sus autores planteaban que Política de Bosques era el primer paso de una amplia y compleja propuesta del Ministerio del Medio Ambiente para brindar respuestas efectivas e integrales que contribuyeran a proteger y conservar los bosques del país; a detener y reversar sus procesos de deterioro; a prevenir los impactos negativos generados por las políticas públicas de otros sectores y a asegurar el compromiso de la sociedad civil y del sector privado en la conservación, utilización y aprovechamiento sostenible de los bosques.</w:t>
      </w:r>
    </w:p>
    <w:p w:rsidR="003162BA" w:rsidRPr="003162BA" w:rsidRDefault="003162BA" w:rsidP="000547CB">
      <w:pPr>
        <w:contextualSpacing/>
        <w:rPr>
          <w:color w:val="000000"/>
          <w:szCs w:val="22"/>
        </w:rPr>
      </w:pPr>
      <w:r w:rsidRPr="003162BA">
        <w:rPr>
          <w:color w:val="000000"/>
          <w:szCs w:val="22"/>
        </w:rPr>
        <w:t>Igualmente se planteaba que la Política de Bosques se complementaría con la Política de Conservación de Áreas Protegidas y la de Conocimiento, Uso Sostenible y Conservación de la Biodiversidad. De igual forma, que los aspectos relacionados con el desarrollo forestal productivo, transformación y comercialización se enmarcarían bajo los parámetros ambientales que se establecían en dicha política.</w:t>
      </w:r>
    </w:p>
    <w:p w:rsidR="003162BA" w:rsidRPr="003162BA" w:rsidRDefault="003162BA" w:rsidP="000547CB">
      <w:pPr>
        <w:contextualSpacing/>
        <w:rPr>
          <w:color w:val="000000"/>
          <w:szCs w:val="22"/>
        </w:rPr>
      </w:pPr>
      <w:r w:rsidRPr="003162BA">
        <w:rPr>
          <w:color w:val="000000"/>
          <w:szCs w:val="22"/>
        </w:rPr>
        <w:t>La Política de Bosques comprende los ecosistemas boscosos naturales</w:t>
      </w:r>
      <w:r w:rsidRPr="003162BA">
        <w:rPr>
          <w:color w:val="000000"/>
          <w:szCs w:val="22"/>
          <w:vertAlign w:val="superscript"/>
        </w:rPr>
        <w:footnoteReference w:id="27"/>
      </w:r>
      <w:r w:rsidRPr="003162BA">
        <w:rPr>
          <w:color w:val="000000"/>
          <w:szCs w:val="22"/>
        </w:rPr>
        <w:t xml:space="preserve"> y las áreas de aptitud forestal, los factores sociales que interactúan con éstos, las actividades de conservación, uso, manejo y aprovechamiento de los bosques, y los aspectos institucionales que inciden directa o indirectamente sobre los factores que causan la pérdida y deterioro de los ecosistemas forestales. Esta Política definió estrategias generales para propiciar el uso sostenible, la conservación y la recuperación de los ecosistemas boscosos. </w:t>
      </w:r>
    </w:p>
    <w:p w:rsidR="003162BA" w:rsidRPr="003162BA" w:rsidRDefault="003162BA" w:rsidP="00446ECB">
      <w:pPr>
        <w:widowControl w:val="0"/>
        <w:numPr>
          <w:ilvl w:val="0"/>
          <w:numId w:val="11"/>
        </w:numPr>
        <w:ind w:left="426" w:hanging="426"/>
        <w:contextualSpacing/>
        <w:jc w:val="left"/>
        <w:rPr>
          <w:b/>
          <w:color w:val="000000"/>
          <w:szCs w:val="22"/>
        </w:rPr>
      </w:pPr>
      <w:r w:rsidRPr="003162BA">
        <w:rPr>
          <w:b/>
          <w:color w:val="000000"/>
          <w:szCs w:val="22"/>
        </w:rPr>
        <w:t>Plan Nacional de Desarrollo Fores</w:t>
      </w:r>
      <w:r w:rsidR="00C76D30">
        <w:rPr>
          <w:b/>
          <w:color w:val="000000"/>
          <w:szCs w:val="22"/>
        </w:rPr>
        <w:t>tal (PNDF). CONPES 2135 de 2001</w:t>
      </w:r>
    </w:p>
    <w:p w:rsidR="003162BA" w:rsidRPr="003162BA" w:rsidRDefault="003162BA" w:rsidP="000547CB">
      <w:pPr>
        <w:ind w:left="-57"/>
        <w:rPr>
          <w:szCs w:val="22"/>
        </w:rPr>
      </w:pPr>
      <w:r w:rsidRPr="003162BA">
        <w:rPr>
          <w:szCs w:val="22"/>
        </w:rPr>
        <w:t>El Plan Nacional de Desarrollo Forestal (Ministerio del Medio Ambiente- Ministerio de Comercio Exterior - Departamento Nacional de Planeación – Ministerio de Desarrollo Económico) apoya y busca, entre otros aspectos, la conservación, la ordenación, el manejo y el aprovechamiento de los bosques naturales del país, con énfasis en la silvicultura comunitaria en zonas de conflicto, colonización, cultivos ilícitos y economía campesina.</w:t>
      </w:r>
      <w:r w:rsidR="007B1CC8">
        <w:rPr>
          <w:szCs w:val="22"/>
        </w:rPr>
        <w:t xml:space="preserve"> </w:t>
      </w:r>
      <w:r w:rsidRPr="003162BA">
        <w:rPr>
          <w:szCs w:val="22"/>
        </w:rPr>
        <w:t>Como parte de las acciones previstas en la implementación del Plan Nacional Desarrollo Forestal – PNDF (D</w:t>
      </w:r>
      <w:r w:rsidRPr="003162BA">
        <w:rPr>
          <w:color w:val="000000"/>
          <w:szCs w:val="22"/>
        </w:rPr>
        <w:t>ocumento CONPES 3125 de 2001 PNF), se contempla el programa de ordenación, conservación y restauración de ecosistemas para consolidar las funciones productoras, protectoras, ecológicas y sociales de los bosques y tierras forestales, bajo los principios del desarrollo sostenible</w:t>
      </w:r>
      <w:r w:rsidRPr="003162BA">
        <w:rPr>
          <w:szCs w:val="22"/>
        </w:rPr>
        <w:t xml:space="preserve">, específicamente del Subprograma “Manejo y aprovechamiento del bosque natural”. </w:t>
      </w:r>
    </w:p>
    <w:p w:rsidR="003162BA" w:rsidRPr="003162BA" w:rsidRDefault="003162BA" w:rsidP="000547CB">
      <w:pPr>
        <w:ind w:left="-57"/>
        <w:rPr>
          <w:szCs w:val="22"/>
        </w:rPr>
      </w:pPr>
      <w:r w:rsidRPr="003162BA">
        <w:rPr>
          <w:szCs w:val="22"/>
        </w:rPr>
        <w:t>El Plan Nacional de Desarrollo Forestal establece ciertas consideraciones sobre la participación comunitaria y el manejo del bosque, como base para el desarrollo económico de las zonas forestales en Colombia. Sus Principios fundamentales son:</w:t>
      </w:r>
    </w:p>
    <w:p w:rsidR="003162BA" w:rsidRPr="003162BA" w:rsidRDefault="003162BA" w:rsidP="00446ECB">
      <w:pPr>
        <w:pStyle w:val="Prrafodelista"/>
        <w:numPr>
          <w:ilvl w:val="0"/>
          <w:numId w:val="46"/>
        </w:numPr>
      </w:pPr>
      <w:r w:rsidRPr="003162BA">
        <w:t>El uso sostenible de los ecosistemas forestales debe permitir la generación de empleo y el mejoramiento de las condiciones de vida de las comunidades rurales y de la sociedad en general.</w:t>
      </w:r>
    </w:p>
    <w:p w:rsidR="003162BA" w:rsidRPr="003162BA" w:rsidRDefault="003162BA" w:rsidP="00446ECB">
      <w:pPr>
        <w:pStyle w:val="Prrafodelista"/>
        <w:numPr>
          <w:ilvl w:val="0"/>
          <w:numId w:val="46"/>
        </w:numPr>
      </w:pPr>
      <w:r w:rsidRPr="003162BA">
        <w:t>El uso, manejo y aprovechamiento sostenible de los recursos forestales contemplará las posibilidades y capacidades de los distintos grupos y comunidades sociales.</w:t>
      </w:r>
    </w:p>
    <w:p w:rsidR="003162BA" w:rsidRPr="003162BA" w:rsidRDefault="003162BA" w:rsidP="00446ECB">
      <w:pPr>
        <w:pStyle w:val="Prrafodelista"/>
        <w:numPr>
          <w:ilvl w:val="0"/>
          <w:numId w:val="46"/>
        </w:numPr>
      </w:pPr>
      <w:r w:rsidRPr="003162BA">
        <w:t>La conservación y gestión en los ecosistemas forestales, como una responsabilidad compartida entre los sectores público, privado y la sociedad civil, debe ser descentralizada y participativa.</w:t>
      </w:r>
    </w:p>
    <w:p w:rsidR="003162BA" w:rsidRPr="003162BA" w:rsidRDefault="003162BA" w:rsidP="000547CB">
      <w:pPr>
        <w:ind w:left="-57"/>
        <w:rPr>
          <w:szCs w:val="22"/>
        </w:rPr>
      </w:pPr>
    </w:p>
    <w:p w:rsidR="003162BA" w:rsidRPr="003162BA" w:rsidRDefault="003162BA" w:rsidP="000547CB">
      <w:pPr>
        <w:ind w:left="-57"/>
        <w:rPr>
          <w:szCs w:val="22"/>
        </w:rPr>
      </w:pPr>
      <w:r w:rsidRPr="003162BA">
        <w:rPr>
          <w:szCs w:val="22"/>
        </w:rPr>
        <w:t>Por otra parte, los programas y subprogramas incluidos en el PNDF, que sirven de apoyo a la gestión del Desarrollo Forestal en Colombia son los siguientes:</w:t>
      </w:r>
    </w:p>
    <w:p w:rsidR="003162BA" w:rsidRPr="003162BA" w:rsidRDefault="003162BA" w:rsidP="000547CB">
      <w:pPr>
        <w:ind w:left="-57"/>
        <w:rPr>
          <w:b/>
          <w:szCs w:val="22"/>
        </w:rPr>
      </w:pPr>
      <w:r w:rsidRPr="003162BA">
        <w:rPr>
          <w:b/>
          <w:szCs w:val="22"/>
        </w:rPr>
        <w:t>A. Programa de ordenación, conservación y restauración de ecosistemas forestales</w:t>
      </w:r>
    </w:p>
    <w:p w:rsidR="003162BA" w:rsidRPr="003162BA" w:rsidRDefault="003162BA" w:rsidP="000547CB">
      <w:pPr>
        <w:ind w:left="-57"/>
        <w:rPr>
          <w:b/>
          <w:szCs w:val="22"/>
        </w:rPr>
      </w:pPr>
      <w:r w:rsidRPr="003162BA">
        <w:rPr>
          <w:b/>
          <w:szCs w:val="22"/>
        </w:rPr>
        <w:t>B. Programa de desarrollo de cadenas forestales productivas</w:t>
      </w:r>
    </w:p>
    <w:p w:rsidR="003162BA" w:rsidRPr="003162BA" w:rsidRDefault="003162BA" w:rsidP="00446ECB">
      <w:pPr>
        <w:widowControl w:val="0"/>
        <w:numPr>
          <w:ilvl w:val="0"/>
          <w:numId w:val="7"/>
        </w:numPr>
        <w:tabs>
          <w:tab w:val="left" w:pos="426"/>
        </w:tabs>
        <w:ind w:left="426" w:hanging="284"/>
        <w:rPr>
          <w:szCs w:val="22"/>
        </w:rPr>
      </w:pPr>
      <w:r w:rsidRPr="003162BA">
        <w:rPr>
          <w:szCs w:val="22"/>
        </w:rPr>
        <w:t>Subprograma Ampliación de la oferta forestal productiva:</w:t>
      </w:r>
    </w:p>
    <w:p w:rsidR="003162BA" w:rsidRPr="003162BA" w:rsidRDefault="003162BA" w:rsidP="00446ECB">
      <w:pPr>
        <w:widowControl w:val="0"/>
        <w:numPr>
          <w:ilvl w:val="0"/>
          <w:numId w:val="7"/>
        </w:numPr>
        <w:tabs>
          <w:tab w:val="left" w:pos="426"/>
        </w:tabs>
        <w:ind w:left="426" w:hanging="284"/>
        <w:rPr>
          <w:szCs w:val="22"/>
          <w:lang w:val="es-MX"/>
        </w:rPr>
      </w:pPr>
      <w:r w:rsidRPr="003162BA">
        <w:rPr>
          <w:szCs w:val="22"/>
          <w:lang w:val="es-MX"/>
        </w:rPr>
        <w:t>Subprograma de manejo y aprovechamiento de bosque natural</w:t>
      </w:r>
    </w:p>
    <w:p w:rsidR="003162BA" w:rsidRPr="003162BA" w:rsidRDefault="003162BA" w:rsidP="000547CB">
      <w:pPr>
        <w:ind w:left="-57"/>
        <w:rPr>
          <w:b/>
          <w:szCs w:val="22"/>
        </w:rPr>
      </w:pPr>
      <w:r w:rsidRPr="003162BA">
        <w:rPr>
          <w:b/>
          <w:szCs w:val="22"/>
        </w:rPr>
        <w:t>C. Programa de desarrollo institucional</w:t>
      </w:r>
    </w:p>
    <w:p w:rsidR="003162BA" w:rsidRPr="003162BA" w:rsidRDefault="003162BA" w:rsidP="00446ECB">
      <w:pPr>
        <w:widowControl w:val="0"/>
        <w:numPr>
          <w:ilvl w:val="0"/>
          <w:numId w:val="8"/>
        </w:numPr>
        <w:tabs>
          <w:tab w:val="left" w:pos="426"/>
        </w:tabs>
        <w:ind w:left="426" w:hanging="284"/>
        <w:rPr>
          <w:szCs w:val="22"/>
        </w:rPr>
      </w:pPr>
      <w:r w:rsidRPr="003162BA">
        <w:rPr>
          <w:szCs w:val="22"/>
        </w:rPr>
        <w:t>Subprograma de Administración de los recursos Forestales</w:t>
      </w:r>
    </w:p>
    <w:p w:rsidR="003162BA" w:rsidRPr="003162BA" w:rsidRDefault="003162BA" w:rsidP="00446ECB">
      <w:pPr>
        <w:widowControl w:val="0"/>
        <w:numPr>
          <w:ilvl w:val="0"/>
          <w:numId w:val="8"/>
        </w:numPr>
        <w:tabs>
          <w:tab w:val="left" w:pos="426"/>
        </w:tabs>
        <w:ind w:left="426" w:hanging="284"/>
        <w:rPr>
          <w:szCs w:val="22"/>
        </w:rPr>
      </w:pPr>
      <w:r w:rsidRPr="003162BA">
        <w:rPr>
          <w:szCs w:val="22"/>
        </w:rPr>
        <w:t>Subprograma de Fortalecimiento de la Conciencia y Cultura Forestal</w:t>
      </w:r>
    </w:p>
    <w:p w:rsidR="003162BA" w:rsidRPr="003162BA" w:rsidRDefault="003162BA" w:rsidP="000547CB">
      <w:pPr>
        <w:ind w:left="-57"/>
        <w:rPr>
          <w:szCs w:val="22"/>
          <w:lang w:val="es-CO"/>
        </w:rPr>
      </w:pPr>
      <w:r w:rsidRPr="003162BA">
        <w:rPr>
          <w:szCs w:val="22"/>
          <w:lang w:val="es-CO"/>
        </w:rPr>
        <w:t>En el capítulo 5. del PNDF se anota que para la Gestión Ambiental y del Riesgo que Promueva el Desarrollo Sostenible se tienen las siguientes metas (2000-2025):</w:t>
      </w:r>
    </w:p>
    <w:p w:rsidR="003162BA" w:rsidRPr="003162BA" w:rsidRDefault="003162BA" w:rsidP="00446ECB">
      <w:pPr>
        <w:widowControl w:val="0"/>
        <w:numPr>
          <w:ilvl w:val="0"/>
          <w:numId w:val="9"/>
        </w:numPr>
        <w:tabs>
          <w:tab w:val="left" w:pos="284"/>
        </w:tabs>
        <w:ind w:left="284" w:hanging="284"/>
        <w:rPr>
          <w:szCs w:val="22"/>
        </w:rPr>
      </w:pPr>
      <w:r w:rsidRPr="003162BA">
        <w:rPr>
          <w:szCs w:val="22"/>
        </w:rPr>
        <w:t>Apoyo</w:t>
      </w:r>
      <w:r w:rsidR="007B1CC8">
        <w:rPr>
          <w:szCs w:val="22"/>
        </w:rPr>
        <w:t xml:space="preserve"> </w:t>
      </w:r>
      <w:r w:rsidRPr="003162BA">
        <w:rPr>
          <w:szCs w:val="22"/>
        </w:rPr>
        <w:t>en la formulación y adopción de 33 planes generales de ordenación forestal.</w:t>
      </w:r>
    </w:p>
    <w:p w:rsidR="003162BA" w:rsidRPr="003162BA" w:rsidRDefault="003162BA" w:rsidP="00446ECB">
      <w:pPr>
        <w:widowControl w:val="0"/>
        <w:numPr>
          <w:ilvl w:val="0"/>
          <w:numId w:val="9"/>
        </w:numPr>
        <w:tabs>
          <w:tab w:val="left" w:pos="284"/>
        </w:tabs>
        <w:ind w:left="284" w:hanging="284"/>
        <w:rPr>
          <w:szCs w:val="22"/>
        </w:rPr>
      </w:pPr>
      <w:r w:rsidRPr="003162BA">
        <w:rPr>
          <w:szCs w:val="22"/>
        </w:rPr>
        <w:t>Manejo de las reservas forestales de Ley 2a. de 1959 y de las reservas forestales protectoras nacionales;</w:t>
      </w:r>
    </w:p>
    <w:p w:rsidR="003162BA" w:rsidRPr="003162BA" w:rsidRDefault="003162BA" w:rsidP="00446ECB">
      <w:pPr>
        <w:widowControl w:val="0"/>
        <w:numPr>
          <w:ilvl w:val="0"/>
          <w:numId w:val="9"/>
        </w:numPr>
        <w:tabs>
          <w:tab w:val="left" w:pos="284"/>
        </w:tabs>
        <w:ind w:left="284" w:hanging="284"/>
        <w:rPr>
          <w:szCs w:val="22"/>
        </w:rPr>
      </w:pPr>
      <w:r w:rsidRPr="003162BA">
        <w:rPr>
          <w:szCs w:val="22"/>
        </w:rPr>
        <w:t>Meta ordenación de 2´000.000 hectáreas de bosques naturales (100.000 hectáreas con certificación).</w:t>
      </w:r>
    </w:p>
    <w:p w:rsidR="003162BA" w:rsidRPr="003162BA" w:rsidRDefault="003162BA" w:rsidP="00446ECB">
      <w:pPr>
        <w:widowControl w:val="0"/>
        <w:numPr>
          <w:ilvl w:val="0"/>
          <w:numId w:val="11"/>
        </w:numPr>
        <w:ind w:left="426" w:hanging="426"/>
        <w:contextualSpacing/>
        <w:rPr>
          <w:b/>
          <w:color w:val="000000"/>
          <w:szCs w:val="22"/>
        </w:rPr>
      </w:pPr>
      <w:r w:rsidRPr="003162BA">
        <w:rPr>
          <w:b/>
          <w:color w:val="000000"/>
          <w:szCs w:val="22"/>
        </w:rPr>
        <w:t>Política Nacional para la Gestión Integral de la Biodiversidad y sus Servicios Ecosistémicos (PNGIBSE). 2012.</w:t>
      </w:r>
    </w:p>
    <w:p w:rsidR="003162BA" w:rsidRPr="003162BA" w:rsidRDefault="003162BA" w:rsidP="000547CB">
      <w:pPr>
        <w:contextualSpacing/>
        <w:rPr>
          <w:color w:val="000000"/>
          <w:szCs w:val="22"/>
        </w:rPr>
      </w:pPr>
      <w:r w:rsidRPr="003162BA">
        <w:rPr>
          <w:color w:val="000000"/>
          <w:szCs w:val="22"/>
        </w:rPr>
        <w:t>Esta política, para el MADS es transversal a toda la gestión en el tema de los recursos biológicos, incluyendo los bosques naturales. Por lo cual, las políticas forestales, la administración de los bosques y las normas para su aprovechamiento están supeditadas a los elementos de la PNGIBSE.</w:t>
      </w:r>
      <w:r w:rsidR="007B1CC8">
        <w:rPr>
          <w:color w:val="000000"/>
          <w:szCs w:val="22"/>
        </w:rPr>
        <w:t xml:space="preserve"> </w:t>
      </w:r>
      <w:r w:rsidRPr="003162BA">
        <w:rPr>
          <w:color w:val="000000"/>
          <w:szCs w:val="22"/>
        </w:rPr>
        <w:t>El propósito de esta Política consiste en “Garantizar la conservación de la biodiversidad y sus servicios ecosistémicos y la distribución equitativa y justa de los beneficios derivados de esta para contribuir al mejoramiento de la calidad de vida de la población Colombiana. Y su objetivo es “Promover la Gestión Integral de la Biodiversidad y sus Servicios Ecosistémicos de manera que se mantenga y mejore la resiliencia de los sistemas socio-ecológicos, así como también se oriente el uso y ocupación del territorio a escalas nacional, regional y local, considerando escenarios de cambio y a través de la acción conjunta coordinada y concertada del Estado, el Sector Productivo y la Sociedad Civil”.</w:t>
      </w:r>
      <w:r w:rsidR="007B1CC8">
        <w:rPr>
          <w:color w:val="000000"/>
          <w:szCs w:val="22"/>
        </w:rPr>
        <w:t xml:space="preserve"> </w:t>
      </w:r>
      <w:r w:rsidRPr="003162BA">
        <w:rPr>
          <w:color w:val="000000"/>
          <w:szCs w:val="22"/>
        </w:rPr>
        <w:t>Algunos elementos conceptuales que se infieren de la</w:t>
      </w:r>
      <w:r w:rsidR="007B1CC8">
        <w:rPr>
          <w:color w:val="000000"/>
          <w:szCs w:val="22"/>
        </w:rPr>
        <w:t xml:space="preserve"> </w:t>
      </w:r>
      <w:r w:rsidRPr="003162BA">
        <w:rPr>
          <w:color w:val="000000"/>
          <w:szCs w:val="22"/>
        </w:rPr>
        <w:t>PNGIBSE, aplicables a la ordenación, el manejo y el aprovechamiento de los bosques en Colombia, son los siguientes:</w:t>
      </w:r>
    </w:p>
    <w:p w:rsidR="003162BA" w:rsidRPr="003162BA" w:rsidRDefault="003162BA" w:rsidP="00446ECB">
      <w:pPr>
        <w:pStyle w:val="Prrafodelista"/>
        <w:numPr>
          <w:ilvl w:val="0"/>
          <w:numId w:val="47"/>
        </w:numPr>
      </w:pPr>
      <w:r w:rsidRPr="003162BA">
        <w:t>La Gestión Integral de la Biodiversidad y sus Servicios Ecosistémicos se adelanta mediante una aproximación con enfoque tanto ecosistémico como sociosistémico.</w:t>
      </w:r>
    </w:p>
    <w:p w:rsidR="003162BA" w:rsidRPr="003162BA" w:rsidRDefault="003162BA" w:rsidP="00446ECB">
      <w:pPr>
        <w:pStyle w:val="Prrafodelista"/>
        <w:numPr>
          <w:ilvl w:val="0"/>
          <w:numId w:val="47"/>
        </w:numPr>
      </w:pPr>
      <w:r w:rsidRPr="003162BA">
        <w:t>Implica el reconocimiento de la resiliencia de los estados y umbrales de estabilidad o cambio de los socio ecosistemas.</w:t>
      </w:r>
      <w:r w:rsidR="007B1CC8">
        <w:t xml:space="preserve"> </w:t>
      </w:r>
    </w:p>
    <w:p w:rsidR="003162BA" w:rsidRPr="003162BA" w:rsidRDefault="003162BA" w:rsidP="00446ECB">
      <w:pPr>
        <w:pStyle w:val="Prrafodelista"/>
        <w:numPr>
          <w:ilvl w:val="0"/>
          <w:numId w:val="47"/>
        </w:numPr>
      </w:pPr>
      <w:r w:rsidRPr="003162BA">
        <w:t>Se reconoce que el suministro de los servicios ecosistémicos depende de la biodiversidad.</w:t>
      </w:r>
    </w:p>
    <w:p w:rsidR="003162BA" w:rsidRPr="003162BA" w:rsidRDefault="003162BA" w:rsidP="00446ECB">
      <w:pPr>
        <w:pStyle w:val="Prrafodelista"/>
        <w:numPr>
          <w:ilvl w:val="0"/>
          <w:numId w:val="47"/>
        </w:numPr>
      </w:pPr>
      <w:r w:rsidRPr="003162BA">
        <w:tab/>
        <w:t>Considera que la conservación conlleva realizar actividades tanto de preservación como de uso sostenible, restauración y generación de conocimiento.</w:t>
      </w:r>
    </w:p>
    <w:p w:rsidR="003162BA" w:rsidRPr="003162BA" w:rsidRDefault="003162BA" w:rsidP="00446ECB">
      <w:pPr>
        <w:pStyle w:val="Prrafodelista"/>
        <w:numPr>
          <w:ilvl w:val="0"/>
          <w:numId w:val="47"/>
        </w:numPr>
      </w:pPr>
      <w:r w:rsidRPr="003162BA">
        <w:tab/>
        <w:t>En la PNGIBSE se da validez a los diferentes sistemas de conocimiento, tanto científico como tradicional.</w:t>
      </w:r>
    </w:p>
    <w:p w:rsidR="003162BA" w:rsidRPr="003162BA" w:rsidRDefault="003162BA" w:rsidP="00446ECB">
      <w:pPr>
        <w:pStyle w:val="Prrafodelista"/>
        <w:numPr>
          <w:ilvl w:val="0"/>
          <w:numId w:val="47"/>
        </w:numPr>
      </w:pPr>
      <w:r w:rsidRPr="003162BA">
        <w:tab/>
        <w:t>Conlleva a la identificación y caracterización de los motores de deterioro, transformación o pérdida de la biodiversidad.</w:t>
      </w:r>
    </w:p>
    <w:p w:rsidR="003162BA" w:rsidRPr="003162BA" w:rsidRDefault="003162BA" w:rsidP="00446ECB">
      <w:pPr>
        <w:pStyle w:val="Prrafodelista"/>
        <w:numPr>
          <w:ilvl w:val="0"/>
          <w:numId w:val="47"/>
        </w:numPr>
      </w:pPr>
      <w:r w:rsidRPr="003162BA">
        <w:tab/>
        <w:t>El abordaje de los conflictos socio ambientales se constituyen en eje transversal de la gestión de la biodiversidad.</w:t>
      </w:r>
    </w:p>
    <w:p w:rsidR="003162BA" w:rsidRPr="003162BA" w:rsidRDefault="003162BA" w:rsidP="00446ECB">
      <w:pPr>
        <w:pStyle w:val="Prrafodelista"/>
        <w:numPr>
          <w:ilvl w:val="0"/>
          <w:numId w:val="47"/>
        </w:numPr>
      </w:pPr>
      <w:r w:rsidRPr="003162BA">
        <w:tab/>
        <w:t>La construcción y planificación del territorio se basa, entre otros aspectos, en la consideración de la biodiversidad y sus servicios ecosistémicos.</w:t>
      </w:r>
    </w:p>
    <w:p w:rsidR="003162BA" w:rsidRDefault="003162BA" w:rsidP="000547CB">
      <w:pPr>
        <w:contextualSpacing/>
        <w:rPr>
          <w:color w:val="000000"/>
          <w:szCs w:val="22"/>
        </w:rPr>
      </w:pPr>
      <w:r w:rsidRPr="003162BA">
        <w:rPr>
          <w:color w:val="000000"/>
          <w:szCs w:val="22"/>
        </w:rPr>
        <w:t>Por último, cabe decir que la Política de Biodiversidad</w:t>
      </w:r>
      <w:r w:rsidR="007B1CC8">
        <w:rPr>
          <w:color w:val="000000"/>
          <w:szCs w:val="22"/>
        </w:rPr>
        <w:t xml:space="preserve"> </w:t>
      </w:r>
      <w:r w:rsidRPr="003162BA">
        <w:rPr>
          <w:color w:val="000000"/>
          <w:szCs w:val="22"/>
        </w:rPr>
        <w:t xml:space="preserve">es considerada como “un proceso por el cual se planifican, ejecutan y monitorean las acciones para la conservación de la biodiversidad y sus servicios ecosistémicos, en un escenario social y territorial definido; en diferentes estados de conservación y con el propósito de maximizar el bienestar social, a través del mantenimiento de la resiliencia de los sistemas socio-ecológicos”. </w:t>
      </w:r>
    </w:p>
    <w:p w:rsidR="00271B7C" w:rsidRDefault="00271B7C" w:rsidP="00446ECB">
      <w:pPr>
        <w:pStyle w:val="Prrafodelista"/>
        <w:numPr>
          <w:ilvl w:val="0"/>
          <w:numId w:val="13"/>
        </w:numPr>
        <w:ind w:left="284"/>
        <w:rPr>
          <w:rFonts w:cs="Arial"/>
          <w:szCs w:val="22"/>
        </w:rPr>
      </w:pPr>
      <w:r w:rsidRPr="00271B7C">
        <w:rPr>
          <w:rFonts w:cs="Arial"/>
          <w:b/>
          <w:szCs w:val="22"/>
        </w:rPr>
        <w:t>Conpes 3934. Política de Crecimieno Verde.</w:t>
      </w:r>
      <w:r w:rsidRPr="00271B7C">
        <w:rPr>
          <w:rFonts w:cs="Arial"/>
          <w:szCs w:val="22"/>
        </w:rPr>
        <w:t xml:space="preserve"> </w:t>
      </w:r>
    </w:p>
    <w:p w:rsidR="00271B7C" w:rsidRPr="00271B7C" w:rsidRDefault="00271B7C" w:rsidP="00271B7C">
      <w:pPr>
        <w:pStyle w:val="Prrafodelista"/>
        <w:ind w:left="0"/>
        <w:rPr>
          <w:rFonts w:cs="Arial"/>
          <w:szCs w:val="22"/>
        </w:rPr>
      </w:pPr>
      <w:r>
        <w:rPr>
          <w:rFonts w:cs="Arial"/>
          <w:szCs w:val="22"/>
        </w:rPr>
        <w:t>E</w:t>
      </w:r>
      <w:r w:rsidRPr="00271B7C">
        <w:rPr>
          <w:rFonts w:cs="Arial"/>
          <w:szCs w:val="22"/>
        </w:rPr>
        <w:t xml:space="preserve">ste documento de política establece que para mantener e incrementar elritmo de crecimiento económico que necesita el país, y así atender las problemáticas sociales, en materia de pobreza, desigualdad y construcción de </w:t>
      </w:r>
      <w:r w:rsidRPr="00271B7C">
        <w:rPr>
          <w:rFonts w:cs="Arial"/>
          <w:szCs w:val="22"/>
        </w:rPr>
        <w:lastRenderedPageBreak/>
        <w:t>paz, se requiere la búsqueda de nuevas fuentes de crecimiento que sean sostenibles a partir de la oferta de capital naturalpara la producción de bienes y servicios ambientales, representada en más de 62.829 especies registradas, 24,8 millones de hectáreas con aptitud forestal y un potencial eólico de 29.500 Megavatios (SiB, 2018; UPRA, 2018; UPME, 2015). Igualmente, esta política reconoce que el desarrollo económico actual será insostenible a largo plazo, ya que degrada y agota la base de los recursos para la producción económica y genera altos costos para el ambiente y la sociedad, valorados en más de 16,6 billones de pesos, equivalente al 2,08 % del producto interno bruto (PIB) del 2015 (DNP, 2018). Lo anterior, hace necesario internalizar las externalidades negativas del desarrollo de manera que los sectores sean cada vez más competitivos, más sostenibles en el uso de los recursos y generen menos impactos ambientales.</w:t>
      </w:r>
    </w:p>
    <w:p w:rsidR="00271B7C" w:rsidRPr="002B3BD1" w:rsidRDefault="00271B7C" w:rsidP="00271B7C">
      <w:pPr>
        <w:rPr>
          <w:rFonts w:cs="Arial"/>
          <w:szCs w:val="22"/>
        </w:rPr>
      </w:pPr>
      <w:r w:rsidRPr="002B3BD1">
        <w:rPr>
          <w:rFonts w:cs="Arial"/>
          <w:szCs w:val="22"/>
        </w:rPr>
        <w:t>Esta política se encuentra alineada con los compromisos internacionales relacionados con desarrollo sostenible como la Agenda 2030 y sus Objetivos de Desarrollo Sostenible, la implementación del Acuerdo de París sobre cambio climático y las recomendaciones e instrumentos de la Organización para la Cooperación y el Desarrollo Económicos. Igualmente, se articula con políticas y planes nacionales en materia sectorial y ambiental.</w:t>
      </w:r>
    </w:p>
    <w:p w:rsidR="003162BA" w:rsidRPr="003162BA" w:rsidRDefault="003162BA" w:rsidP="000547CB">
      <w:pPr>
        <w:ind w:left="567" w:hanging="567"/>
        <w:rPr>
          <w:b/>
          <w:color w:val="000000"/>
          <w:szCs w:val="22"/>
        </w:rPr>
      </w:pPr>
      <w:r w:rsidRPr="003162BA">
        <w:rPr>
          <w:b/>
          <w:color w:val="000000"/>
          <w:szCs w:val="22"/>
        </w:rPr>
        <w:t>1</w:t>
      </w:r>
      <w:r w:rsidR="00E75467">
        <w:rPr>
          <w:b/>
          <w:color w:val="000000"/>
          <w:szCs w:val="22"/>
        </w:rPr>
        <w:t>3</w:t>
      </w:r>
      <w:r w:rsidRPr="003162BA">
        <w:rPr>
          <w:b/>
          <w:color w:val="000000"/>
          <w:szCs w:val="22"/>
        </w:rPr>
        <w:t>.2</w:t>
      </w:r>
      <w:r w:rsidR="007B1CC8">
        <w:rPr>
          <w:b/>
          <w:color w:val="000000"/>
          <w:szCs w:val="22"/>
        </w:rPr>
        <w:t xml:space="preserve"> </w:t>
      </w:r>
      <w:r w:rsidRPr="003162BA">
        <w:rPr>
          <w:b/>
          <w:snapToGrid w:val="0"/>
          <w:szCs w:val="22"/>
        </w:rPr>
        <w:t>NORMATIVIDAD Y POLÍTICAS CONEXAS</w:t>
      </w:r>
      <w:r w:rsidRPr="003162BA">
        <w:rPr>
          <w:b/>
          <w:color w:val="000000"/>
          <w:szCs w:val="22"/>
        </w:rPr>
        <w:t xml:space="preserve"> CON LA ADMINISTRACIÓN Y</w:t>
      </w:r>
      <w:r w:rsidR="007B1CC8">
        <w:rPr>
          <w:b/>
          <w:color w:val="000000"/>
          <w:szCs w:val="22"/>
        </w:rPr>
        <w:t xml:space="preserve"> </w:t>
      </w:r>
      <w:r w:rsidRPr="003162BA">
        <w:rPr>
          <w:b/>
          <w:color w:val="000000"/>
          <w:szCs w:val="22"/>
        </w:rPr>
        <w:t>EL APROVECHAMIENTO DE LOS BOSQUES</w:t>
      </w:r>
    </w:p>
    <w:p w:rsidR="003162BA" w:rsidRPr="003162BA" w:rsidRDefault="00E75467" w:rsidP="000547CB">
      <w:pPr>
        <w:contextualSpacing/>
        <w:rPr>
          <w:b/>
          <w:szCs w:val="22"/>
          <w:lang w:val="es-CO"/>
        </w:rPr>
      </w:pPr>
      <w:r>
        <w:rPr>
          <w:b/>
          <w:szCs w:val="22"/>
          <w:lang w:val="es-CO"/>
        </w:rPr>
        <w:t>1.3</w:t>
      </w:r>
      <w:r w:rsidR="003162BA" w:rsidRPr="003162BA">
        <w:rPr>
          <w:b/>
          <w:szCs w:val="22"/>
          <w:lang w:val="es-CO"/>
        </w:rPr>
        <w:t>.1</w:t>
      </w:r>
      <w:r w:rsidR="007B1CC8">
        <w:rPr>
          <w:b/>
          <w:szCs w:val="22"/>
          <w:lang w:val="es-CO"/>
        </w:rPr>
        <w:t xml:space="preserve"> </w:t>
      </w:r>
      <w:r w:rsidR="003162BA" w:rsidRPr="003162BA">
        <w:rPr>
          <w:b/>
          <w:szCs w:val="22"/>
          <w:lang w:val="es-CO"/>
        </w:rPr>
        <w:t>Normas conexas con la administración y el aprovechamiento de los bosques</w:t>
      </w:r>
    </w:p>
    <w:p w:rsidR="003162BA" w:rsidRPr="003162BA" w:rsidRDefault="003162BA" w:rsidP="00446ECB">
      <w:pPr>
        <w:widowControl w:val="0"/>
        <w:numPr>
          <w:ilvl w:val="0"/>
          <w:numId w:val="11"/>
        </w:numPr>
        <w:ind w:left="426" w:hanging="426"/>
        <w:contextualSpacing/>
        <w:rPr>
          <w:b/>
          <w:snapToGrid w:val="0"/>
          <w:szCs w:val="22"/>
        </w:rPr>
      </w:pPr>
      <w:r w:rsidRPr="003162BA">
        <w:rPr>
          <w:b/>
          <w:snapToGrid w:val="0"/>
          <w:szCs w:val="22"/>
        </w:rPr>
        <w:t>Constitución Política de la República de Colombia.</w:t>
      </w:r>
      <w:r w:rsidR="007B1CC8">
        <w:rPr>
          <w:b/>
          <w:snapToGrid w:val="0"/>
          <w:szCs w:val="22"/>
        </w:rPr>
        <w:t xml:space="preserve"> </w:t>
      </w:r>
      <w:r w:rsidRPr="003162BA">
        <w:rPr>
          <w:b/>
          <w:snapToGrid w:val="0"/>
          <w:szCs w:val="22"/>
        </w:rPr>
        <w:t xml:space="preserve">1991. </w:t>
      </w:r>
    </w:p>
    <w:p w:rsidR="003162BA" w:rsidRPr="003162BA" w:rsidRDefault="003162BA" w:rsidP="000547CB">
      <w:pPr>
        <w:widowControl w:val="0"/>
        <w:contextualSpacing/>
        <w:rPr>
          <w:snapToGrid w:val="0"/>
          <w:szCs w:val="22"/>
        </w:rPr>
      </w:pPr>
      <w:r w:rsidRPr="003162BA">
        <w:rPr>
          <w:snapToGrid w:val="0"/>
          <w:szCs w:val="22"/>
        </w:rPr>
        <w:t>La Carta Magna de la República de Colombia en su ARTÍCULO 80, establece que “</w:t>
      </w:r>
      <w:r w:rsidRPr="003162BA">
        <w:rPr>
          <w:i/>
          <w:snapToGrid w:val="0"/>
          <w:szCs w:val="22"/>
        </w:rPr>
        <w:t>El Estado planificará el manejo y aprovechamiento de los recursos naturales, para garantizar su desarrollo sostenible, su conservación, restauración o sustitución</w:t>
      </w:r>
      <w:r w:rsidRPr="003162BA">
        <w:rPr>
          <w:snapToGrid w:val="0"/>
          <w:szCs w:val="22"/>
        </w:rPr>
        <w:t>”.</w:t>
      </w:r>
    </w:p>
    <w:p w:rsidR="003162BA" w:rsidRPr="003162BA" w:rsidRDefault="003162BA" w:rsidP="00446ECB">
      <w:pPr>
        <w:widowControl w:val="0"/>
        <w:numPr>
          <w:ilvl w:val="0"/>
          <w:numId w:val="11"/>
        </w:numPr>
        <w:ind w:left="426" w:hanging="426"/>
        <w:contextualSpacing/>
        <w:rPr>
          <w:b/>
          <w:szCs w:val="22"/>
          <w:lang w:val="es-CO"/>
        </w:rPr>
      </w:pPr>
      <w:r w:rsidRPr="003162BA">
        <w:rPr>
          <w:b/>
          <w:szCs w:val="22"/>
          <w:lang w:val="es-CO"/>
        </w:rPr>
        <w:t xml:space="preserve">Ley 17 de 1981: “Por la cual se aprueba la "Convención sobre el Comercio Internacional de Especies Amenazadas de Fauna y Flora Silvestres", suscrita en Washington, D.C. el 3 de marzo de 1973”. </w:t>
      </w:r>
    </w:p>
    <w:p w:rsidR="003162BA" w:rsidRPr="003162BA" w:rsidRDefault="003162BA" w:rsidP="000547CB">
      <w:pPr>
        <w:contextualSpacing/>
        <w:rPr>
          <w:szCs w:val="22"/>
          <w:lang w:val="es-CO"/>
        </w:rPr>
      </w:pPr>
      <w:r w:rsidRPr="003162BA">
        <w:rPr>
          <w:szCs w:val="22"/>
          <w:lang w:val="es-CO"/>
        </w:rPr>
        <w:t xml:space="preserve">Mediante esta Ley Colombia dio carácter legal a su vinculación a CITES. Por lo tanto, para el aprovechamiento y el comercio de especies de los bosques naturales, tanto los usuarios como las Autoridades deberán consultar la Reglamentación del Comercio de Especímenes de Especies incluidas en cada uno de Apéndices y seguir los procedimientos para acceder a los Permisos y Certificaciones a que hubiere lugar. </w:t>
      </w:r>
    </w:p>
    <w:p w:rsidR="003162BA" w:rsidRPr="003162BA" w:rsidRDefault="003162BA" w:rsidP="00446ECB">
      <w:pPr>
        <w:widowControl w:val="0"/>
        <w:numPr>
          <w:ilvl w:val="0"/>
          <w:numId w:val="10"/>
        </w:numPr>
        <w:ind w:left="426" w:hanging="426"/>
        <w:rPr>
          <w:b/>
          <w:szCs w:val="22"/>
        </w:rPr>
      </w:pPr>
      <w:r w:rsidRPr="003162BA">
        <w:rPr>
          <w:b/>
          <w:szCs w:val="22"/>
        </w:rPr>
        <w:t>Ley 1450 de 2011: “Mediante la cual se aprueba el Plan Nacional de Desarrollo 2010 – 2014, Prosperidad para Todos”.</w:t>
      </w:r>
    </w:p>
    <w:p w:rsidR="003162BA" w:rsidRPr="003162BA" w:rsidRDefault="003162BA" w:rsidP="000547CB">
      <w:pPr>
        <w:ind w:left="-57"/>
        <w:rPr>
          <w:szCs w:val="22"/>
        </w:rPr>
      </w:pPr>
      <w:r w:rsidRPr="003162BA">
        <w:rPr>
          <w:szCs w:val="22"/>
        </w:rPr>
        <w:t>Esta Ley, entre otras cosas, eliminó el concepto de las Áreas Forestales Productoras – Protectoras, quedando vigentes solamente las Áreas Forestales Productoras y las Áreas Forestales Protectoras que habían sido establecidas por el Decreto Ley 2811 de 1974,</w:t>
      </w:r>
      <w:r w:rsidR="007B1CC8">
        <w:rPr>
          <w:szCs w:val="22"/>
        </w:rPr>
        <w:t xml:space="preserve"> </w:t>
      </w:r>
      <w:r w:rsidRPr="003162BA">
        <w:rPr>
          <w:szCs w:val="22"/>
        </w:rPr>
        <w:t xml:space="preserve">de la siguiente manera: </w:t>
      </w:r>
    </w:p>
    <w:p w:rsidR="003162BA" w:rsidRPr="003162BA" w:rsidRDefault="003162BA" w:rsidP="000547CB">
      <w:pPr>
        <w:ind w:left="-57"/>
        <w:rPr>
          <w:szCs w:val="22"/>
        </w:rPr>
      </w:pPr>
      <w:r w:rsidRPr="003162BA">
        <w:rPr>
          <w:szCs w:val="22"/>
          <w:u w:val="single"/>
        </w:rPr>
        <w:t>ARTÍCULO 203</w:t>
      </w:r>
      <w:r w:rsidRPr="003162BA">
        <w:rPr>
          <w:szCs w:val="22"/>
        </w:rPr>
        <w:t>: Áreas Forestales. Modifíquese el artículo 202 del Decreto Ley 2811 de 1974, el cual quedará de la siguiente manera: "Artículo 202. El presente título regula el manejo de los suelos forestales por su naturaleza y de los bosques que contienen, que para los efectos del presente código, se denominan áreas forestales. Las áreas forestales podrán ser protectoras y productoras. La naturaleza forestal de los suelos será determinada con base en estudios técnicos, ambientales y socioeconómicos adoptados por el Ministerio de Ambiente, Vivienda y Desarrollo Territorial o quien haga sus veces”.</w:t>
      </w:r>
    </w:p>
    <w:p w:rsidR="003162BA" w:rsidRPr="003162BA" w:rsidRDefault="003162BA" w:rsidP="00446ECB">
      <w:pPr>
        <w:widowControl w:val="0"/>
        <w:numPr>
          <w:ilvl w:val="0"/>
          <w:numId w:val="11"/>
        </w:numPr>
        <w:ind w:left="426" w:hanging="426"/>
        <w:contextualSpacing/>
        <w:rPr>
          <w:b/>
          <w:szCs w:val="22"/>
        </w:rPr>
      </w:pPr>
      <w:r w:rsidRPr="003162BA">
        <w:rPr>
          <w:b/>
          <w:szCs w:val="22"/>
        </w:rPr>
        <w:t>Ley 1753 de 2015: Por la cual se expide el Plan Nacional de Desarrollo 2014-2018 “Todos por un nuevo país”.</w:t>
      </w:r>
    </w:p>
    <w:p w:rsidR="003162BA" w:rsidRPr="003162BA" w:rsidRDefault="003162BA" w:rsidP="000547CB">
      <w:pPr>
        <w:ind w:left="-57"/>
        <w:rPr>
          <w:szCs w:val="22"/>
        </w:rPr>
      </w:pPr>
      <w:r w:rsidRPr="003162BA">
        <w:rPr>
          <w:szCs w:val="22"/>
        </w:rPr>
        <w:t>Esta Ley no regula directamente el manejo y el aprovechamiento de los bosques naturales pero sí establece algunos lineamientos</w:t>
      </w:r>
      <w:r w:rsidR="007B1CC8">
        <w:rPr>
          <w:szCs w:val="22"/>
        </w:rPr>
        <w:t xml:space="preserve"> </w:t>
      </w:r>
      <w:r w:rsidRPr="003162BA">
        <w:rPr>
          <w:szCs w:val="22"/>
        </w:rPr>
        <w:t>enmarcados en el CAPÍTULO VI Crecimiento Verde. Entre ellos se destacan los siguientes:</w:t>
      </w:r>
    </w:p>
    <w:p w:rsidR="003162BA" w:rsidRPr="003162BA" w:rsidRDefault="003162BA" w:rsidP="000547CB">
      <w:pPr>
        <w:ind w:left="-57"/>
        <w:rPr>
          <w:szCs w:val="22"/>
        </w:rPr>
      </w:pPr>
      <w:r w:rsidRPr="003162BA">
        <w:rPr>
          <w:szCs w:val="22"/>
          <w:u w:val="single"/>
        </w:rPr>
        <w:t>“Artículo 170</w:t>
      </w:r>
      <w:r w:rsidRPr="003162BA">
        <w:rPr>
          <w:szCs w:val="22"/>
        </w:rPr>
        <w:t xml:space="preserve">. Formulación de una política de crecimiento verde de largo plazo, que reza: “El Gobierno nacional, a través del Departamento Nacional de Planeación en coordinación con el Ministerio de Ambiente y Desarrollo Sostenible, y con participación de los ministerios, formulará una política de crecimiento verde de largo plazo en la cual se definan los objetivos y metas de crecimiento económico sostenible…” </w:t>
      </w:r>
    </w:p>
    <w:p w:rsidR="003162BA" w:rsidRPr="003162BA" w:rsidRDefault="003162BA" w:rsidP="000547CB">
      <w:pPr>
        <w:ind w:left="-57"/>
        <w:rPr>
          <w:szCs w:val="22"/>
          <w:highlight w:val="yellow"/>
        </w:rPr>
      </w:pPr>
      <w:r w:rsidRPr="003162BA">
        <w:rPr>
          <w:szCs w:val="22"/>
          <w:u w:val="single"/>
        </w:rPr>
        <w:t>Artículo 171</w:t>
      </w:r>
      <w:r w:rsidRPr="003162BA">
        <w:rPr>
          <w:szCs w:val="22"/>
        </w:rPr>
        <w:t xml:space="preserve">. Prevención de la deforestación de bosques naturales. “El Ministerio de Ambiente y Desarrollo Sostenible elaborará una política nacional de lucha contra la deforestación que contendrá un plan de acción dirigido a evitar la pérdida de bosques naturales para el año 2030. Esta política incluirá previsiones para vincular de manera sustantiva a los sectores que actúan como motores de deforestación, incluyendo las cadenas productivas que aprovechan el bosque y sus derivados…Esta política tendrá metas específicas con la </w:t>
      </w:r>
      <w:r w:rsidRPr="003162BA">
        <w:rPr>
          <w:szCs w:val="22"/>
        </w:rPr>
        <w:lastRenderedPageBreak/>
        <w:t>participación de los gremios productivos, bajo la figura de acuerdos para la sostenibilidad, donde se comprometan a recuperar bosques arrasados hasta la fecha, en función de su actividad económica.</w:t>
      </w:r>
    </w:p>
    <w:p w:rsidR="003162BA" w:rsidRPr="003162BA" w:rsidRDefault="003162BA" w:rsidP="000547CB">
      <w:pPr>
        <w:ind w:left="-57"/>
        <w:rPr>
          <w:szCs w:val="22"/>
        </w:rPr>
      </w:pPr>
      <w:r w:rsidRPr="003162BA">
        <w:rPr>
          <w:szCs w:val="22"/>
          <w:u w:val="single"/>
        </w:rPr>
        <w:t>Artículo 177</w:t>
      </w:r>
      <w:r w:rsidRPr="003162BA">
        <w:rPr>
          <w:szCs w:val="22"/>
        </w:rPr>
        <w:t xml:space="preserve">. Certificado del Incentivo Forestal. Modifíquese el artículo 3° y adiciónese un parágrafo al artículo 6° de la Ley 139 de 1994, los cuales quedarán así: “Artículo 3°. Naturaleza. El Certificado de Incentivo Forestal (CIF), es el documento otorgado por la entidad competente para el manejo y administración de los recursos naturales renovables y del medio ambiente que da derecho a la persona beneficiaria a obtener directamente al momento de su presentación, por una sola vez y en las fechas, términos y condiciones que específicamente se determinen, las sumas de dinero que se fijen conforme al artículo siguiente, por parte de la entidad bancaria que haya sido autorizada para el efecto por Finagro…”. </w:t>
      </w:r>
    </w:p>
    <w:p w:rsidR="003162BA" w:rsidRPr="003162BA" w:rsidRDefault="003162BA" w:rsidP="00446ECB">
      <w:pPr>
        <w:widowControl w:val="0"/>
        <w:numPr>
          <w:ilvl w:val="0"/>
          <w:numId w:val="11"/>
        </w:numPr>
        <w:ind w:left="426" w:hanging="426"/>
        <w:contextualSpacing/>
        <w:rPr>
          <w:b/>
          <w:szCs w:val="22"/>
        </w:rPr>
      </w:pPr>
      <w:r w:rsidRPr="003162BA">
        <w:rPr>
          <w:b/>
          <w:szCs w:val="22"/>
        </w:rPr>
        <w:t>Resolución 0192 de 2014: “Por la cual se establece el listado de las especies silvestres amenazadas de la diversidad biológica Colombiana que se encuentran en el territorio nacional, y se dictan otras disposiciones”.</w:t>
      </w:r>
    </w:p>
    <w:p w:rsidR="003162BA" w:rsidRPr="003162BA" w:rsidRDefault="003162BA" w:rsidP="000547CB">
      <w:pPr>
        <w:contextualSpacing/>
        <w:rPr>
          <w:szCs w:val="22"/>
        </w:rPr>
      </w:pPr>
      <w:r w:rsidRPr="003162BA">
        <w:rPr>
          <w:szCs w:val="22"/>
        </w:rPr>
        <w:t>En esta norma el MADS establece</w:t>
      </w:r>
      <w:r w:rsidR="007B1CC8">
        <w:rPr>
          <w:szCs w:val="22"/>
        </w:rPr>
        <w:t xml:space="preserve"> </w:t>
      </w:r>
      <w:r w:rsidRPr="003162BA">
        <w:rPr>
          <w:szCs w:val="22"/>
        </w:rPr>
        <w:t xml:space="preserve">tres categorías de conservación que deben ser consideradas para permitir, restringir o prohibir el uso de especies de flora y fauna silvestre. Tales categorías son: En Peligro Crítico (CR), En Peligro (EN), Vulnerable (VU). Por lo tanto, cuando se elabore un Plan de Manejo Forestal o cuando se desee solicitar un permiso de aprovechamiento forestal, previamente se debe catalogar el estado de las especies objeto del mismo. Igualmente, con base en ella el MADS podrá establecer el tipo de medidas de compensación o de restricción para poder intervenir las poblaciones naturales de las especies a que hubiere lugar. La norma incluye anexo un listado de más de 1.200 especies con su respectiva categoría de conservación. </w:t>
      </w:r>
    </w:p>
    <w:p w:rsidR="003162BA" w:rsidRPr="003162BA" w:rsidRDefault="003162BA" w:rsidP="00446ECB">
      <w:pPr>
        <w:widowControl w:val="0"/>
        <w:numPr>
          <w:ilvl w:val="0"/>
          <w:numId w:val="11"/>
        </w:numPr>
        <w:ind w:left="426" w:hanging="426"/>
        <w:contextualSpacing/>
        <w:rPr>
          <w:b/>
          <w:szCs w:val="22"/>
          <w:lang w:val="es-CO"/>
        </w:rPr>
      </w:pPr>
      <w:r w:rsidRPr="003162BA">
        <w:rPr>
          <w:b/>
          <w:szCs w:val="22"/>
          <w:lang w:val="es-CO"/>
        </w:rPr>
        <w:t>Decreto 1076 de 2015. "Por medio del cual se expide el Decreto Único Reglamentario del Sector Ambiente y Desarrollo Sostenible".</w:t>
      </w:r>
    </w:p>
    <w:p w:rsidR="003162BA" w:rsidRPr="003162BA" w:rsidRDefault="003162BA" w:rsidP="000547CB">
      <w:pPr>
        <w:contextualSpacing/>
        <w:rPr>
          <w:szCs w:val="22"/>
          <w:lang w:val="es-CO"/>
        </w:rPr>
      </w:pPr>
      <w:r w:rsidRPr="003162BA">
        <w:rPr>
          <w:bCs/>
          <w:szCs w:val="22"/>
        </w:rPr>
        <w:t xml:space="preserve">Este Decreto en su TÍTULO 2. Gestión Ambiental, </w:t>
      </w:r>
      <w:r w:rsidRPr="003162BA">
        <w:rPr>
          <w:szCs w:val="22"/>
          <w:lang w:val="es-CO"/>
        </w:rPr>
        <w:t>CAPÍTULO I. Áreas de Manejo Especial, SECCIÓN 2. Categorías de Áreas Protegidas, establece que las categorías de áreas protegidas que conforman el Sistema Nacional de Áreas Protegidas –SINAP- son las siguientes (Artículo 2.2.2.1.2.1. Áreas protegidas del Sinap):</w:t>
      </w:r>
    </w:p>
    <w:p w:rsidR="003162BA" w:rsidRPr="003162BA" w:rsidRDefault="003162BA" w:rsidP="000547CB">
      <w:pPr>
        <w:contextualSpacing/>
        <w:rPr>
          <w:szCs w:val="22"/>
          <w:lang w:val="es-CO"/>
        </w:rPr>
      </w:pPr>
      <w:r w:rsidRPr="003162BA">
        <w:rPr>
          <w:szCs w:val="22"/>
          <w:lang w:val="es-CO"/>
        </w:rPr>
        <w:t>a) Las del Sistema de Parques Nacionales Naturales;</w:t>
      </w:r>
    </w:p>
    <w:p w:rsidR="003162BA" w:rsidRPr="003162BA" w:rsidRDefault="003162BA" w:rsidP="000547CB">
      <w:pPr>
        <w:contextualSpacing/>
        <w:rPr>
          <w:szCs w:val="22"/>
          <w:lang w:val="es-CO"/>
        </w:rPr>
      </w:pPr>
      <w:r w:rsidRPr="003162BA">
        <w:rPr>
          <w:szCs w:val="22"/>
          <w:lang w:val="es-CO"/>
        </w:rPr>
        <w:t>b) Las Reservas Forestales Protectoras;</w:t>
      </w:r>
    </w:p>
    <w:p w:rsidR="003162BA" w:rsidRPr="003162BA" w:rsidRDefault="003162BA" w:rsidP="000547CB">
      <w:pPr>
        <w:contextualSpacing/>
        <w:rPr>
          <w:szCs w:val="22"/>
          <w:lang w:val="es-CO"/>
        </w:rPr>
      </w:pPr>
      <w:r w:rsidRPr="003162BA">
        <w:rPr>
          <w:szCs w:val="22"/>
          <w:lang w:val="es-CO"/>
        </w:rPr>
        <w:t>c) Los Parques Naturales Regionales;</w:t>
      </w:r>
    </w:p>
    <w:p w:rsidR="003162BA" w:rsidRPr="003162BA" w:rsidRDefault="003162BA" w:rsidP="000547CB">
      <w:pPr>
        <w:contextualSpacing/>
        <w:rPr>
          <w:szCs w:val="22"/>
          <w:lang w:val="es-CO"/>
        </w:rPr>
      </w:pPr>
      <w:r w:rsidRPr="003162BA">
        <w:rPr>
          <w:szCs w:val="22"/>
          <w:lang w:val="es-CO"/>
        </w:rPr>
        <w:t>d) Los Distritos de Manejo Integrado;</w:t>
      </w:r>
    </w:p>
    <w:p w:rsidR="003162BA" w:rsidRPr="003162BA" w:rsidRDefault="003162BA" w:rsidP="000547CB">
      <w:pPr>
        <w:contextualSpacing/>
        <w:rPr>
          <w:szCs w:val="22"/>
          <w:lang w:val="es-CO"/>
        </w:rPr>
      </w:pPr>
      <w:r w:rsidRPr="003162BA">
        <w:rPr>
          <w:szCs w:val="22"/>
          <w:lang w:val="es-CO"/>
        </w:rPr>
        <w:t>e) Los Distritos de Conservación de Suelos;</w:t>
      </w:r>
    </w:p>
    <w:p w:rsidR="003162BA" w:rsidRPr="003162BA" w:rsidRDefault="003162BA" w:rsidP="000547CB">
      <w:pPr>
        <w:contextualSpacing/>
        <w:rPr>
          <w:szCs w:val="22"/>
          <w:lang w:val="es-CO"/>
        </w:rPr>
      </w:pPr>
      <w:r w:rsidRPr="003162BA">
        <w:rPr>
          <w:szCs w:val="22"/>
          <w:lang w:val="es-CO"/>
        </w:rPr>
        <w:t>f) Las Áreas de Recreación. Áreas Protegidas Privadas</w:t>
      </w:r>
    </w:p>
    <w:p w:rsidR="003162BA" w:rsidRPr="003162BA" w:rsidRDefault="003162BA" w:rsidP="000547CB">
      <w:pPr>
        <w:contextualSpacing/>
        <w:rPr>
          <w:szCs w:val="22"/>
          <w:lang w:val="es-CO"/>
        </w:rPr>
      </w:pPr>
      <w:r w:rsidRPr="003162BA">
        <w:rPr>
          <w:szCs w:val="22"/>
          <w:lang w:val="es-CO"/>
        </w:rPr>
        <w:t>g) Las Reservas Naturales de la Sociedad Civil.</w:t>
      </w:r>
    </w:p>
    <w:p w:rsidR="003162BA" w:rsidRPr="003162BA" w:rsidRDefault="003162BA" w:rsidP="000547CB">
      <w:pPr>
        <w:contextualSpacing/>
        <w:rPr>
          <w:szCs w:val="22"/>
          <w:lang w:val="es-CO"/>
        </w:rPr>
      </w:pPr>
      <w:r w:rsidRPr="003162BA">
        <w:rPr>
          <w:szCs w:val="22"/>
          <w:lang w:val="es-CO"/>
        </w:rPr>
        <w:t>En la definición de las categorías: Reservas Forestales Protectoras,</w:t>
      </w:r>
      <w:r w:rsidR="007B1CC8">
        <w:rPr>
          <w:szCs w:val="22"/>
          <w:lang w:val="es-CO"/>
        </w:rPr>
        <w:t xml:space="preserve"> </w:t>
      </w:r>
      <w:r w:rsidRPr="003162BA">
        <w:rPr>
          <w:szCs w:val="22"/>
          <w:lang w:val="es-CO"/>
        </w:rPr>
        <w:t>Distritos de Manejo Integrado,</w:t>
      </w:r>
      <w:r w:rsidR="007B1CC8">
        <w:rPr>
          <w:szCs w:val="22"/>
          <w:lang w:val="es-CO"/>
        </w:rPr>
        <w:t xml:space="preserve"> </w:t>
      </w:r>
      <w:r w:rsidRPr="003162BA">
        <w:rPr>
          <w:szCs w:val="22"/>
          <w:lang w:val="es-CO"/>
        </w:rPr>
        <w:t xml:space="preserve">Áreas de Recreación, Distritos de Conservación de Suelos, Reservas Naturales de la Sociedad Civil establece como una de sus funciones el </w:t>
      </w:r>
      <w:r w:rsidRPr="003162BA">
        <w:rPr>
          <w:szCs w:val="22"/>
          <w:u w:val="single"/>
          <w:lang w:val="es-CO"/>
        </w:rPr>
        <w:t>uso sostenible</w:t>
      </w:r>
      <w:r w:rsidRPr="003162BA">
        <w:rPr>
          <w:szCs w:val="22"/>
          <w:lang w:val="es-CO"/>
        </w:rPr>
        <w:t>. Y aclara lo siguiente:</w:t>
      </w:r>
    </w:p>
    <w:p w:rsidR="003162BA" w:rsidRPr="003162BA" w:rsidRDefault="003162BA" w:rsidP="000547CB">
      <w:pPr>
        <w:contextualSpacing/>
        <w:rPr>
          <w:b/>
          <w:i/>
          <w:szCs w:val="22"/>
          <w:lang w:val="es-CO"/>
        </w:rPr>
      </w:pPr>
      <w:r w:rsidRPr="003162BA">
        <w:rPr>
          <w:b/>
          <w:szCs w:val="22"/>
          <w:lang w:val="es-CO"/>
        </w:rPr>
        <w:t xml:space="preserve">“Parágrafo 1º. </w:t>
      </w:r>
      <w:r w:rsidRPr="003162BA">
        <w:rPr>
          <w:i/>
          <w:szCs w:val="22"/>
          <w:lang w:val="es-CO"/>
        </w:rPr>
        <w:t>El uso sostenible… hace referencia a la obtención de los frutos secundarios del bosque en lo relacionado con las actividades de aprovechamiento forestal. No obstante, el régimen de usos deberá estar en consonancia con la finalidad del área protegida, donde deben prevalecer los valores naturales asociados al área y en tal sentido, el desarrollo de actividades públicas y privadas deberá realizarse conforme a dicha finalidad y según la regulación que para el efecto expida el Ministerio de Ambiente, y Desarrollo Sostenible.</w:t>
      </w:r>
    </w:p>
    <w:p w:rsidR="003162BA" w:rsidRPr="003162BA" w:rsidRDefault="003162BA" w:rsidP="000547CB">
      <w:pPr>
        <w:contextualSpacing/>
        <w:rPr>
          <w:szCs w:val="22"/>
          <w:lang w:val="es-CO"/>
        </w:rPr>
      </w:pPr>
      <w:r w:rsidRPr="003162BA">
        <w:rPr>
          <w:b/>
          <w:szCs w:val="22"/>
          <w:lang w:val="es-CO"/>
        </w:rPr>
        <w:t xml:space="preserve">Parágrafo 2º. </w:t>
      </w:r>
      <w:r w:rsidRPr="003162BA">
        <w:rPr>
          <w:i/>
          <w:szCs w:val="22"/>
          <w:lang w:val="es-CO"/>
        </w:rPr>
        <w:t>Entiéndase por frutos secundarios del bosque los productos no maderables y los servicios generados por estos ecosistemas boscosos, entre ellos, las flores, los frutos, las fibras, las cortezas, las hojas, las semillas, las gomas, las resinas y los exudados.</w:t>
      </w:r>
      <w:r w:rsidRPr="003162BA">
        <w:rPr>
          <w:szCs w:val="22"/>
          <w:lang w:val="es-CO"/>
        </w:rPr>
        <w:t>”</w:t>
      </w:r>
    </w:p>
    <w:p w:rsidR="003162BA" w:rsidRPr="003162BA" w:rsidRDefault="003162BA" w:rsidP="000547CB">
      <w:pPr>
        <w:contextualSpacing/>
        <w:rPr>
          <w:szCs w:val="22"/>
          <w:lang w:val="es-CO"/>
        </w:rPr>
      </w:pPr>
      <w:r w:rsidRPr="003162BA">
        <w:rPr>
          <w:szCs w:val="22"/>
          <w:lang w:val="es-CO"/>
        </w:rPr>
        <w:t>Es decir, que el aprovechamiento forestal de productos no maderables es viable en las áreas protegidas en donde una de sus funciones es el uso sostenible. Pero, igualmente, en ellas no es factible el aprovechamiento de productos maderables.</w:t>
      </w:r>
    </w:p>
    <w:p w:rsidR="002B77EB" w:rsidRDefault="002B77EB">
      <w:pPr>
        <w:jc w:val="left"/>
        <w:rPr>
          <w:rFonts w:eastAsia="Calibri"/>
          <w:b/>
          <w:iCs/>
          <w:szCs w:val="22"/>
          <w:lang w:val="es-CO"/>
        </w:rPr>
      </w:pPr>
      <w:r>
        <w:rPr>
          <w:rFonts w:eastAsia="Calibri"/>
          <w:b/>
          <w:iCs/>
          <w:szCs w:val="22"/>
          <w:lang w:val="es-CO"/>
        </w:rPr>
        <w:br w:type="page"/>
      </w:r>
    </w:p>
    <w:p w:rsidR="003162BA" w:rsidRPr="003162BA" w:rsidRDefault="003162BA" w:rsidP="00446ECB">
      <w:pPr>
        <w:widowControl w:val="0"/>
        <w:numPr>
          <w:ilvl w:val="0"/>
          <w:numId w:val="11"/>
        </w:numPr>
        <w:autoSpaceDE w:val="0"/>
        <w:autoSpaceDN w:val="0"/>
        <w:adjustRightInd w:val="0"/>
        <w:ind w:left="426" w:hanging="426"/>
        <w:contextualSpacing/>
        <w:rPr>
          <w:rFonts w:eastAsia="Calibri"/>
          <w:b/>
          <w:szCs w:val="22"/>
          <w:lang w:val="es-CO"/>
        </w:rPr>
      </w:pPr>
      <w:r w:rsidRPr="003162BA">
        <w:rPr>
          <w:rFonts w:eastAsia="Calibri"/>
          <w:b/>
          <w:iCs/>
          <w:szCs w:val="22"/>
          <w:lang w:val="es-CO"/>
        </w:rPr>
        <w:lastRenderedPageBreak/>
        <w:t>Ley 21 de 1991: “Por medio de la cual se aprueba el Convenio número 169 sobre pueblos indígenas y tribales en países independientes, adoptado por la 76a reunión de la Conferencia General de la OIT, Ginebra, 1989”.</w:t>
      </w:r>
    </w:p>
    <w:p w:rsidR="003162BA" w:rsidRPr="003162BA" w:rsidRDefault="003162BA" w:rsidP="000547CB">
      <w:pPr>
        <w:autoSpaceDE w:val="0"/>
        <w:autoSpaceDN w:val="0"/>
        <w:adjustRightInd w:val="0"/>
        <w:rPr>
          <w:rFonts w:eastAsia="Calibri"/>
          <w:szCs w:val="22"/>
          <w:lang w:val="es-CO"/>
        </w:rPr>
      </w:pPr>
      <w:r w:rsidRPr="003162BA">
        <w:rPr>
          <w:rFonts w:eastAsia="Calibri"/>
          <w:szCs w:val="22"/>
          <w:lang w:val="es-CO"/>
        </w:rPr>
        <w:t>Par Colombia la firma del Convenio 169 resulta relevante en cuanto la ordenación, el manejo y el aprovechamiento de los bosques naturales en la medida que del enfoque de la planificación central de los recursos forestales se cambia al reconocimiento a la autonomía como Pueblos Indígenas, a la vez que se les garantiza sus derechos al territorio, la cultura y la autonomía, lo que reconoce a su vez el gobierno propio, desarrollo, jurisprudencia propia y derecho a hacer parte en la toma de decisiones (consulta previa).</w:t>
      </w:r>
    </w:p>
    <w:p w:rsidR="003162BA" w:rsidRPr="003162BA" w:rsidRDefault="003162BA" w:rsidP="000547CB">
      <w:pPr>
        <w:autoSpaceDE w:val="0"/>
        <w:autoSpaceDN w:val="0"/>
        <w:adjustRightInd w:val="0"/>
        <w:rPr>
          <w:rFonts w:eastAsia="Calibri"/>
          <w:szCs w:val="22"/>
          <w:lang w:val="es-CO"/>
        </w:rPr>
      </w:pPr>
      <w:r w:rsidRPr="003162BA">
        <w:rPr>
          <w:rFonts w:eastAsia="Calibri"/>
          <w:szCs w:val="22"/>
          <w:lang w:val="es-CO"/>
        </w:rPr>
        <w:t>Cada Resguardo debe contar con un Plan de Vida Indígena que es una herramienta de política y de gobierno; es decir, un acuerdo social que debe surgir del consenso. Dicho plan se elabora y construye</w:t>
      </w:r>
      <w:r w:rsidR="007B1CC8">
        <w:rPr>
          <w:rFonts w:eastAsia="Calibri"/>
          <w:szCs w:val="22"/>
          <w:lang w:val="es-CO"/>
        </w:rPr>
        <w:t xml:space="preserve"> </w:t>
      </w:r>
      <w:r w:rsidRPr="003162BA">
        <w:rPr>
          <w:rFonts w:eastAsia="Calibri"/>
          <w:szCs w:val="22"/>
          <w:lang w:val="es-CO"/>
        </w:rPr>
        <w:t>mediante el proceso participativo de autodiagnóstico y del ejercicio de elaboración de proyectos.</w:t>
      </w:r>
    </w:p>
    <w:p w:rsidR="003162BA" w:rsidRPr="003162BA" w:rsidRDefault="003162BA" w:rsidP="000547CB">
      <w:pPr>
        <w:rPr>
          <w:rFonts w:eastAsia="Calibri"/>
          <w:szCs w:val="22"/>
        </w:rPr>
      </w:pPr>
      <w:r w:rsidRPr="003162BA">
        <w:rPr>
          <w:rFonts w:eastAsia="Calibri"/>
          <w:szCs w:val="22"/>
        </w:rPr>
        <w:t xml:space="preserve">Atendiendo al espíritu de esta ley, la ordenación forestal en territorios de comunidades indígenas deberá ser armonizada y compatibilizada con los Planes de Vida de las mismas, cuyos lineamientos se convierten en determinantes para el </w:t>
      </w:r>
      <w:r w:rsidR="00C70930">
        <w:rPr>
          <w:rFonts w:eastAsia="Calibri"/>
          <w:szCs w:val="22"/>
        </w:rPr>
        <w:t>PGOF</w:t>
      </w:r>
      <w:r w:rsidRPr="003162BA">
        <w:rPr>
          <w:rFonts w:eastAsia="Calibri"/>
          <w:szCs w:val="22"/>
        </w:rPr>
        <w:t xml:space="preserve">. En el caso que las comunidades indígenas no posean Plan de Vida, la ordenación forestal participativa deberá ser una oportunidad y un medio para que se elabore la línea base que apoye la formulación del mismo. </w:t>
      </w:r>
    </w:p>
    <w:p w:rsidR="003162BA" w:rsidRPr="003162BA" w:rsidRDefault="003162BA" w:rsidP="000547CB">
      <w:pPr>
        <w:rPr>
          <w:rFonts w:eastAsia="Calibri"/>
          <w:szCs w:val="22"/>
          <w:lang w:val="es-CO"/>
        </w:rPr>
      </w:pPr>
      <w:r w:rsidRPr="003162BA">
        <w:rPr>
          <w:rFonts w:eastAsia="Calibri"/>
          <w:szCs w:val="22"/>
          <w:lang w:val="es-CO"/>
        </w:rPr>
        <w:t>Colombia posee un conjunto de normas, políticas y compromisos internacionales que privilegian</w:t>
      </w:r>
      <w:r w:rsidR="007B1CC8">
        <w:rPr>
          <w:rFonts w:eastAsia="Calibri"/>
          <w:szCs w:val="22"/>
          <w:lang w:val="es-CO"/>
        </w:rPr>
        <w:t xml:space="preserve"> </w:t>
      </w:r>
      <w:r w:rsidRPr="003162BA">
        <w:rPr>
          <w:rFonts w:eastAsia="Calibri"/>
          <w:szCs w:val="22"/>
          <w:lang w:val="es-CO"/>
        </w:rPr>
        <w:t>la propiedad colectiva de la tierra (incluida la de comunidades indígenas). Así, los</w:t>
      </w:r>
      <w:r w:rsidR="007B1CC8">
        <w:rPr>
          <w:rFonts w:eastAsia="Calibri"/>
          <w:szCs w:val="22"/>
          <w:lang w:val="es-CO"/>
        </w:rPr>
        <w:t xml:space="preserve"> </w:t>
      </w:r>
      <w:r w:rsidRPr="003162BA">
        <w:rPr>
          <w:rFonts w:eastAsia="Calibri"/>
          <w:szCs w:val="22"/>
          <w:lang w:val="es-CO"/>
        </w:rPr>
        <w:t>Resguardos Indígenas son entes territoriales, considerados por el Estado y la jurisprudencia como territorios de propiedad privada colectiva y</w:t>
      </w:r>
      <w:r w:rsidRPr="003162BA">
        <w:rPr>
          <w:rFonts w:eastAsia="Calibri"/>
          <w:szCs w:val="22"/>
        </w:rPr>
        <w:t xml:space="preserve">, en consecuencia, </w:t>
      </w:r>
      <w:r w:rsidRPr="003162BA">
        <w:rPr>
          <w:rFonts w:eastAsia="Calibri"/>
          <w:szCs w:val="22"/>
          <w:lang w:val="es-CO"/>
        </w:rPr>
        <w:t>el aprovechamiento forestal solo puede ser otorgado a título del ente jurídico que es el Resguardo y bajo la figura de Autorización de Aprovechamiento Forestal (ver Decreto 1076 de 2015).</w:t>
      </w:r>
      <w:r w:rsidR="007B1CC8">
        <w:rPr>
          <w:rFonts w:eastAsia="Calibri"/>
          <w:szCs w:val="22"/>
          <w:lang w:val="es-CO"/>
        </w:rPr>
        <w:t xml:space="preserve"> </w:t>
      </w:r>
      <w:r w:rsidRPr="003162BA">
        <w:rPr>
          <w:rFonts w:eastAsia="Calibri"/>
          <w:szCs w:val="22"/>
          <w:lang w:val="es-CO"/>
        </w:rPr>
        <w:t xml:space="preserve"> </w:t>
      </w:r>
    </w:p>
    <w:p w:rsidR="003162BA" w:rsidRPr="003162BA" w:rsidRDefault="003162BA" w:rsidP="00446ECB">
      <w:pPr>
        <w:widowControl w:val="0"/>
        <w:numPr>
          <w:ilvl w:val="0"/>
          <w:numId w:val="11"/>
        </w:numPr>
        <w:autoSpaceDE w:val="0"/>
        <w:autoSpaceDN w:val="0"/>
        <w:adjustRightInd w:val="0"/>
        <w:ind w:left="426" w:hanging="426"/>
        <w:contextualSpacing/>
        <w:rPr>
          <w:rFonts w:eastAsia="Calibri"/>
          <w:b/>
          <w:szCs w:val="22"/>
          <w:lang w:val="es-CO"/>
        </w:rPr>
      </w:pPr>
      <w:r w:rsidRPr="003162BA">
        <w:rPr>
          <w:rFonts w:eastAsia="Calibri"/>
          <w:b/>
          <w:iCs/>
          <w:szCs w:val="22"/>
          <w:lang w:val="es-CO"/>
        </w:rPr>
        <w:t xml:space="preserve">Ley 70 de 1993: “Por la cual se desarrolla el artículo transitorio 55 de la Constitución Política. Comunidades AfroColombianas”. </w:t>
      </w:r>
    </w:p>
    <w:p w:rsidR="003162BA" w:rsidRPr="003162BA" w:rsidRDefault="003162BA" w:rsidP="000547CB">
      <w:pPr>
        <w:autoSpaceDE w:val="0"/>
        <w:autoSpaceDN w:val="0"/>
        <w:adjustRightInd w:val="0"/>
        <w:rPr>
          <w:rFonts w:eastAsia="Calibri"/>
          <w:szCs w:val="22"/>
          <w:lang w:val="es-CO"/>
        </w:rPr>
      </w:pPr>
      <w:r w:rsidRPr="003162BA">
        <w:rPr>
          <w:rFonts w:eastAsia="Calibri"/>
          <w:szCs w:val="22"/>
          <w:lang w:val="es-CO"/>
        </w:rPr>
        <w:t>Al igual que en el caso inmediatamente anterior,</w:t>
      </w:r>
      <w:r w:rsidR="007B1CC8">
        <w:rPr>
          <w:rFonts w:eastAsia="Calibri"/>
          <w:szCs w:val="22"/>
          <w:lang w:val="es-CO"/>
        </w:rPr>
        <w:t xml:space="preserve"> </w:t>
      </w:r>
      <w:r w:rsidRPr="003162BA">
        <w:rPr>
          <w:rFonts w:eastAsia="Calibri"/>
          <w:szCs w:val="22"/>
          <w:lang w:val="es-CO"/>
        </w:rPr>
        <w:t>con esta Ley se trasciende de la planificación central</w:t>
      </w:r>
      <w:r w:rsidR="007B1CC8">
        <w:rPr>
          <w:rFonts w:eastAsia="Calibri"/>
          <w:szCs w:val="22"/>
          <w:lang w:val="es-CO"/>
        </w:rPr>
        <w:t xml:space="preserve"> </w:t>
      </w:r>
      <w:r w:rsidRPr="003162BA">
        <w:rPr>
          <w:rFonts w:eastAsia="Calibri"/>
          <w:szCs w:val="22"/>
          <w:lang w:val="es-CO"/>
        </w:rPr>
        <w:t>a la autodeterminación, autodiagnóstico</w:t>
      </w:r>
      <w:r w:rsidR="007B1CC8">
        <w:rPr>
          <w:rFonts w:eastAsia="Calibri"/>
          <w:szCs w:val="22"/>
          <w:lang w:val="es-CO"/>
        </w:rPr>
        <w:t xml:space="preserve"> </w:t>
      </w:r>
      <w:r w:rsidRPr="003162BA">
        <w:rPr>
          <w:rFonts w:eastAsia="Calibri"/>
          <w:szCs w:val="22"/>
          <w:lang w:val="es-CO"/>
        </w:rPr>
        <w:t>y consenso social para el desarrollo de las comunidades afrodescendientes. Igualmente, les reconoce derechos ancestrales a las comunidades afrodescendientes; incluido el de la propiedad colectiva de sus tierras bajo la figura de los Consejos Comunitarios. Cada uno de</w:t>
      </w:r>
      <w:r w:rsidR="007B1CC8">
        <w:rPr>
          <w:rFonts w:eastAsia="Calibri"/>
          <w:szCs w:val="22"/>
          <w:lang w:val="es-CO"/>
        </w:rPr>
        <w:t xml:space="preserve"> </w:t>
      </w:r>
      <w:r w:rsidRPr="003162BA">
        <w:rPr>
          <w:rFonts w:eastAsia="Calibri"/>
          <w:szCs w:val="22"/>
          <w:lang w:val="es-CO"/>
        </w:rPr>
        <w:t>estos Consejos es reconocido por el Estado y la jurisprudencia como de propiedad privada colectiva.</w:t>
      </w:r>
    </w:p>
    <w:p w:rsidR="003162BA" w:rsidRPr="003162BA" w:rsidRDefault="003162BA" w:rsidP="000547CB">
      <w:pPr>
        <w:autoSpaceDE w:val="0"/>
        <w:autoSpaceDN w:val="0"/>
        <w:adjustRightInd w:val="0"/>
        <w:rPr>
          <w:rFonts w:eastAsia="Calibri"/>
          <w:szCs w:val="22"/>
          <w:highlight w:val="green"/>
          <w:lang w:val="es-CO"/>
        </w:rPr>
      </w:pPr>
      <w:r w:rsidRPr="003162BA">
        <w:rPr>
          <w:rFonts w:eastAsia="Calibri"/>
          <w:szCs w:val="22"/>
          <w:lang w:val="es-CO"/>
        </w:rPr>
        <w:t xml:space="preserve">A su vez, cada Consejo requiere contar con un Plan de Etnodesarrollo, que es una herramienta de política y de gobierno de la respectiva comunidad. Con base en estos elementos, en los territorios de comunidades negras la ordenación forestal deberá ser armonizada y compatibilizada con los Planes de Etnodesarrollo, cuyos lineamientos se constituyen en determinantes para el </w:t>
      </w:r>
      <w:r w:rsidR="00C70930">
        <w:rPr>
          <w:rFonts w:eastAsia="Calibri"/>
          <w:szCs w:val="22"/>
          <w:lang w:val="es-CO"/>
        </w:rPr>
        <w:t>PGOF</w:t>
      </w:r>
      <w:r w:rsidRPr="003162BA">
        <w:rPr>
          <w:rFonts w:eastAsia="Calibri"/>
          <w:szCs w:val="22"/>
          <w:lang w:val="es-CO"/>
        </w:rPr>
        <w:t>. Del mismo modo, si la respectiva comunidad o Consejo no poseen su Plan de Etnodesarrollo, la ordenación forestal deberá proporcionar la información de línea</w:t>
      </w:r>
      <w:r w:rsidR="007B1CC8">
        <w:rPr>
          <w:rFonts w:eastAsia="Calibri"/>
          <w:szCs w:val="22"/>
          <w:lang w:val="es-CO"/>
        </w:rPr>
        <w:t xml:space="preserve"> </w:t>
      </w:r>
      <w:r w:rsidRPr="003162BA">
        <w:rPr>
          <w:rFonts w:eastAsia="Calibri"/>
          <w:szCs w:val="22"/>
          <w:lang w:val="es-CO"/>
        </w:rPr>
        <w:t>base para construir dicho Plan. Del mismo modo, y de manera similar que en el caso de los resguardos indígenas, el aprovechamiento forestal solo puede ser otorgado a título del ente jurídico que es el Consejo Comunitario y bajo la figura de Autorización de Aprovechamiento Forestal (ver Decreto 1076 de 2015).</w:t>
      </w:r>
      <w:r w:rsidR="007B1CC8">
        <w:rPr>
          <w:rFonts w:eastAsia="Calibri"/>
          <w:szCs w:val="22"/>
          <w:lang w:val="es-CO"/>
        </w:rPr>
        <w:t xml:space="preserve"> </w:t>
      </w:r>
      <w:r w:rsidRPr="003162BA">
        <w:rPr>
          <w:rFonts w:eastAsia="Calibri"/>
          <w:szCs w:val="22"/>
          <w:lang w:val="es-CO"/>
        </w:rPr>
        <w:t xml:space="preserve"> </w:t>
      </w:r>
    </w:p>
    <w:p w:rsidR="003162BA" w:rsidRPr="003162BA" w:rsidRDefault="003162BA" w:rsidP="00446ECB">
      <w:pPr>
        <w:widowControl w:val="0"/>
        <w:numPr>
          <w:ilvl w:val="0"/>
          <w:numId w:val="11"/>
        </w:numPr>
        <w:autoSpaceDE w:val="0"/>
        <w:autoSpaceDN w:val="0"/>
        <w:adjustRightInd w:val="0"/>
        <w:ind w:left="426" w:hanging="426"/>
        <w:contextualSpacing/>
        <w:rPr>
          <w:rFonts w:eastAsia="Calibri"/>
          <w:b/>
          <w:iCs/>
          <w:szCs w:val="22"/>
          <w:lang w:val="es-CO"/>
        </w:rPr>
      </w:pPr>
      <w:r w:rsidRPr="003162BA">
        <w:rPr>
          <w:rFonts w:eastAsia="Calibri"/>
          <w:b/>
          <w:iCs/>
          <w:szCs w:val="22"/>
          <w:lang w:val="es-CO"/>
        </w:rPr>
        <w:t xml:space="preserve">Ley 160 de 1994: “Por medio de la cual se crea el Sistema Nacional de Reforma Agraria y Desarrollo Rural Campesino, se establece un subsidio para la adquisición de tierras, se reforma el Instituto Colombiano de la Reforma Agraria y se dictan otras disposiciones”. </w:t>
      </w:r>
    </w:p>
    <w:p w:rsidR="003162BA" w:rsidRPr="003162BA" w:rsidRDefault="003162BA" w:rsidP="000547CB">
      <w:pPr>
        <w:autoSpaceDE w:val="0"/>
        <w:autoSpaceDN w:val="0"/>
        <w:adjustRightInd w:val="0"/>
        <w:rPr>
          <w:rFonts w:eastAsia="Calibri"/>
          <w:szCs w:val="22"/>
        </w:rPr>
      </w:pPr>
      <w:r w:rsidRPr="003162BA">
        <w:rPr>
          <w:rFonts w:eastAsia="Calibri"/>
          <w:bCs/>
          <w:szCs w:val="22"/>
        </w:rPr>
        <w:t>Según su</w:t>
      </w:r>
      <w:r w:rsidRPr="003162BA">
        <w:rPr>
          <w:rFonts w:eastAsia="Calibri"/>
          <w:b/>
          <w:bCs/>
          <w:szCs w:val="22"/>
        </w:rPr>
        <w:t xml:space="preserve"> </w:t>
      </w:r>
      <w:r w:rsidRPr="003162BA">
        <w:rPr>
          <w:rFonts w:eastAsia="Calibri"/>
          <w:bCs/>
          <w:szCs w:val="22"/>
        </w:rPr>
        <w:t xml:space="preserve">ARTÍCULO 1o., </w:t>
      </w:r>
      <w:r w:rsidRPr="003162BA">
        <w:rPr>
          <w:rFonts w:eastAsia="Calibri"/>
          <w:szCs w:val="22"/>
        </w:rPr>
        <w:t>esta ley tiene por objeto los siguientes aspectos relacionados con el manejo forestal: …“</w:t>
      </w:r>
      <w:r w:rsidRPr="003162BA">
        <w:rPr>
          <w:rFonts w:eastAsia="Calibri"/>
          <w:b/>
          <w:bCs/>
          <w:szCs w:val="22"/>
        </w:rPr>
        <w:t xml:space="preserve">Cuarto: </w:t>
      </w:r>
      <w:r w:rsidRPr="003162BA">
        <w:rPr>
          <w:rFonts w:eastAsia="Calibri"/>
          <w:szCs w:val="22"/>
        </w:rPr>
        <w:t xml:space="preserve">elevar el nivel de vida de la población campesina, generar empleo productivo en el campo y asegurar la coordinación y cooperación de las diversas entidades del Estado, en especial las que conforman el Sistema Nacional de Reforma Agraria y Desarrollo Rural Campesino, para el desarrollo integral de los programas respectivos. </w:t>
      </w:r>
      <w:r w:rsidRPr="003162BA">
        <w:rPr>
          <w:rFonts w:eastAsia="Calibri"/>
          <w:b/>
          <w:bCs/>
          <w:szCs w:val="22"/>
        </w:rPr>
        <w:t xml:space="preserve">Quinto: </w:t>
      </w:r>
      <w:r w:rsidRPr="003162BA">
        <w:rPr>
          <w:rFonts w:eastAsia="Calibri"/>
          <w:szCs w:val="22"/>
        </w:rPr>
        <w:t xml:space="preserve">fomentar la adecuada explotación y la utilización social de las aguas y de las tierras rurales aptas para la explotación silvoagropecuaria, y de las tierras incultas, ociosas o deficientemente aprovechadas, mediante programas que provean su distribución ordenada y su racional utilización. </w:t>
      </w:r>
      <w:r w:rsidRPr="003162BA">
        <w:rPr>
          <w:rFonts w:eastAsia="Calibri"/>
          <w:b/>
          <w:bCs/>
          <w:szCs w:val="22"/>
        </w:rPr>
        <w:t xml:space="preserve">Sexto: </w:t>
      </w:r>
      <w:r w:rsidRPr="003162BA">
        <w:rPr>
          <w:rFonts w:eastAsia="Calibri"/>
          <w:szCs w:val="22"/>
        </w:rPr>
        <w:t>acrecer el volumen global de la producción agrícola, ganadera, forestal y acuícola, en armonía con el desarrollo de los otros sectores económicos; aumentar la productividad de las explotaciones y la eficiente comercialización de los productos agropecuarios y procurar que las aguas y tierras se utilicen de la manera que mejor convenga a su ubicación y características…”</w:t>
      </w:r>
    </w:p>
    <w:p w:rsidR="003162BA" w:rsidRPr="003162BA" w:rsidRDefault="003162BA" w:rsidP="000547CB">
      <w:pPr>
        <w:autoSpaceDE w:val="0"/>
        <w:autoSpaceDN w:val="0"/>
        <w:adjustRightInd w:val="0"/>
        <w:rPr>
          <w:rFonts w:eastAsia="Calibri"/>
          <w:szCs w:val="22"/>
        </w:rPr>
      </w:pPr>
      <w:r w:rsidRPr="003162BA">
        <w:rPr>
          <w:rFonts w:eastAsia="Calibri"/>
          <w:szCs w:val="22"/>
        </w:rPr>
        <w:lastRenderedPageBreak/>
        <w:t>Del mismo modo, según numeral 3. del ARTÍCULO 31 de esta Ley “… el Instituto Colombiano de la Reforma Agraria… adelantará los respectivos programas de adquisición de tierras y mejoras en coordinación con el Ministerio del Medio Ambiente o la corporación autónoma regional correspondiente, dando preferencia a los ocupantes de tierras que se hallen sometidas al régimen de reserva forestal, de manejo especial o interés ecológico, o las situadas en las áreas que conforman el Sistema de Parques Nacionales Naturales; y según su numeral 4., podrá “ Dotar de tierras a los habitantes de regiones afectadas por calamidades públicas naturales sobrevinientes, sin afectar las reservas de recursos forestales.”</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Por otra parte, y de acuerdo con el ARTÍCULO 38,</w:t>
      </w:r>
      <w:r w:rsidR="007B1CC8">
        <w:rPr>
          <w:rFonts w:eastAsia="Calibri"/>
          <w:iCs/>
          <w:szCs w:val="22"/>
          <w:lang w:val="es-CO"/>
        </w:rPr>
        <w:t xml:space="preserve"> </w:t>
      </w:r>
      <w:r w:rsidRPr="003162BA">
        <w:rPr>
          <w:rFonts w:eastAsia="Calibri"/>
          <w:iCs/>
          <w:szCs w:val="22"/>
          <w:lang w:val="es-CO"/>
        </w:rPr>
        <w:t>“Se entiende por unidad agrícola familiar (UAF), la empresa básica de producción agrícola, pecuaria, acuícola o forestal cuya extensión, conforme a las condiciones agroecológicas de la zona y con tecnología adecuada,</w:t>
      </w:r>
      <w:r w:rsidRPr="003162BA">
        <w:rPr>
          <w:snapToGrid w:val="0"/>
          <w:szCs w:val="20"/>
        </w:rPr>
        <w:t xml:space="preserve"> </w:t>
      </w:r>
      <w:r w:rsidRPr="003162BA">
        <w:rPr>
          <w:rFonts w:eastAsia="Calibri"/>
          <w:iCs/>
          <w:szCs w:val="22"/>
          <w:lang w:val="es-CO"/>
        </w:rPr>
        <w:t xml:space="preserve">permite a la familia remunerar su trabajo y disponer de un excedente capitalizable que coadyuve a la formación de su patrimonio. </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También es de resaltar</w:t>
      </w:r>
      <w:r w:rsidR="007B1CC8">
        <w:rPr>
          <w:rFonts w:eastAsia="Calibri"/>
          <w:iCs/>
          <w:szCs w:val="22"/>
          <w:lang w:val="es-CO"/>
        </w:rPr>
        <w:t xml:space="preserve"> </w:t>
      </w:r>
      <w:r w:rsidRPr="003162BA">
        <w:rPr>
          <w:rFonts w:eastAsia="Calibri"/>
          <w:iCs/>
          <w:szCs w:val="22"/>
          <w:lang w:val="es-CO"/>
        </w:rPr>
        <w:t>que en su ARTÍCULO 58, establece que: “Para efectos de lo establecido en el artículo 1o. de la Ley 200 de 1936, se considera que hay explotación económica cuando ésta se realiza de una manera regular y estable. Es regular y estable la explotación que al momento de la práctica de la inspección ocular tenga más de un (1) año de iniciada y se haya mantenido sin interrupción injustificada, siendo de cargo del propietario la demostración de tales circunstancias. La simple tala de árboles, con excepción de las explotaciones forestales adelantadas de conformidad con lo dispuesto en el Código Nacional de Recursos Naturales Renovables y de Protección al Medio Ambiente, no constituye explotación económica”.</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Esta Ley en el ARTÍCULO 69 establece que “…</w:t>
      </w:r>
      <w:r w:rsidRPr="003162BA">
        <w:rPr>
          <w:rFonts w:eastAsia="Calibri"/>
          <w:iCs/>
          <w:szCs w:val="22"/>
        </w:rPr>
        <w:t>Las áreas dedicadas a la conservación de la vegetación protectora, lo mismo que las destinadas al uso forestal racional, situadas fuera de las zonas decretadas como reservas forestales o de bosques nacionales, se tendrán como porción aprovechada para el cálculo de la superficie explotada exigida por el</w:t>
      </w:r>
      <w:r w:rsidR="007B1CC8">
        <w:rPr>
          <w:rFonts w:eastAsia="Calibri"/>
          <w:iCs/>
          <w:szCs w:val="22"/>
        </w:rPr>
        <w:t xml:space="preserve"> </w:t>
      </w:r>
      <w:r w:rsidRPr="003162BA">
        <w:rPr>
          <w:rFonts w:eastAsia="Calibri"/>
          <w:iCs/>
          <w:szCs w:val="22"/>
        </w:rPr>
        <w:t>presente artículo para tener derecho a la adjudicación.”</w:t>
      </w:r>
      <w:r w:rsidRPr="003162BA">
        <w:rPr>
          <w:rFonts w:eastAsia="Calibri"/>
          <w:iCs/>
          <w:szCs w:val="22"/>
          <w:lang w:val="es-CO"/>
        </w:rPr>
        <w:t xml:space="preserve"> </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Por otra parte, el ARTÍCULO 85, PARÁGRAFO 6o., establece que “Los territorios tradicionalmente utilizados por pueblos indígenas nómadas, seminómadas o agricultores itinerantes para la caza, recolección u horticultura, que se hallaren situados en zonas de reserva forestal a la vigencia de esta ley, solo podrán destinarse a la constitución de resguardos indígenas, pero la ocupación y aprovechamiento deberá someterse además, a las prescripciones que establezca el Ministerio del Medio Ambiente y las disposiciones vigentes sobre recursos naturales renovables”.</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Los anteriores partes de la Ley 160 de 1994 señalan que la conservación, el manejo y el uso de los recursos forestales son considerados en la Ley de tierras del país; y que el manejo forestal es una opción para la implementación de la misma.</w:t>
      </w:r>
    </w:p>
    <w:p w:rsidR="003162BA" w:rsidRPr="003162BA" w:rsidRDefault="003162BA" w:rsidP="00446ECB">
      <w:pPr>
        <w:widowControl w:val="0"/>
        <w:numPr>
          <w:ilvl w:val="0"/>
          <w:numId w:val="11"/>
        </w:numPr>
        <w:autoSpaceDE w:val="0"/>
        <w:autoSpaceDN w:val="0"/>
        <w:adjustRightInd w:val="0"/>
        <w:ind w:left="426" w:hanging="426"/>
        <w:contextualSpacing/>
        <w:rPr>
          <w:rFonts w:eastAsia="Calibri"/>
          <w:iCs/>
          <w:szCs w:val="22"/>
          <w:lang w:val="es-CO"/>
        </w:rPr>
      </w:pPr>
      <w:r w:rsidRPr="003162BA">
        <w:rPr>
          <w:rFonts w:eastAsia="Calibri"/>
          <w:b/>
          <w:iCs/>
          <w:szCs w:val="22"/>
          <w:lang w:val="es-CO"/>
        </w:rPr>
        <w:t>Ley 164 de 1994: “Por medio de la cual se aprueba la "Convención Marco de las Naciones Unidas sobre el Cambio Climático", hecha en Nueva York el 9 de mayo de 1992”.</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Con esta Ley Colombia se adhiere legalmente a la mencionada Convención, con lo cual entra a participar de las iniciativas, los compromisos y la aplicación de mecanismos de desarrollo limpio, en este caso factibles a partir de la conservación y el manejo de los bosques, como sumideros de carbono.</w:t>
      </w:r>
    </w:p>
    <w:p w:rsidR="003162BA" w:rsidRPr="003162BA" w:rsidRDefault="003162BA" w:rsidP="00446ECB">
      <w:pPr>
        <w:widowControl w:val="0"/>
        <w:numPr>
          <w:ilvl w:val="0"/>
          <w:numId w:val="11"/>
        </w:numPr>
        <w:autoSpaceDE w:val="0"/>
        <w:autoSpaceDN w:val="0"/>
        <w:adjustRightInd w:val="0"/>
        <w:ind w:left="426" w:hanging="426"/>
        <w:contextualSpacing/>
        <w:rPr>
          <w:rFonts w:eastAsia="Calibri"/>
          <w:b/>
          <w:iCs/>
          <w:szCs w:val="22"/>
          <w:lang w:val="es-CO"/>
        </w:rPr>
      </w:pPr>
      <w:r w:rsidRPr="003162BA">
        <w:rPr>
          <w:rFonts w:eastAsia="Calibri"/>
          <w:b/>
          <w:iCs/>
          <w:szCs w:val="22"/>
          <w:lang w:val="es-CO"/>
        </w:rPr>
        <w:t xml:space="preserve">Ley 165 de 1994: “Por medio de la cual se aprueba el "Convenio sobre la Diversidad Biológica", hecho en Río de Janeiro el 5 de junio de 1992”. </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 xml:space="preserve">De acuerdo con el ARTÍCULO 1o. de esta Ley, los objetivos del Convenio son “la conservación de la diversidad biológica, la utilización sostenible de sus componentes y la participación justa y equitativa en los beneficios que se deriven de la utilización de los recursos genéticos, mediante, entre otras cosas, un acceso adecuado a esos recursos y una transferencia apropiada de las tecnologías pertinentes, teniendo en cuenta todos los derechos sobre esos recursos y a esas tecnologías, así como mediante una financiación apropiada”. </w:t>
      </w:r>
    </w:p>
    <w:p w:rsidR="003162BA" w:rsidRPr="003162BA" w:rsidRDefault="003162BA" w:rsidP="000547CB">
      <w:pPr>
        <w:autoSpaceDE w:val="0"/>
        <w:autoSpaceDN w:val="0"/>
        <w:adjustRightInd w:val="0"/>
        <w:rPr>
          <w:rFonts w:eastAsia="Calibri"/>
          <w:iCs/>
          <w:szCs w:val="22"/>
        </w:rPr>
      </w:pPr>
      <w:r w:rsidRPr="003162BA">
        <w:rPr>
          <w:rFonts w:eastAsia="Calibri"/>
          <w:iCs/>
          <w:szCs w:val="22"/>
          <w:lang w:val="es-CO"/>
        </w:rPr>
        <w:t xml:space="preserve">Igualmente, en el </w:t>
      </w:r>
      <w:r w:rsidRPr="003162BA">
        <w:rPr>
          <w:rFonts w:eastAsia="Calibri"/>
          <w:bCs/>
          <w:iCs/>
          <w:szCs w:val="22"/>
        </w:rPr>
        <w:t>ARTÍCULO 6o., la norma dice que</w:t>
      </w:r>
      <w:r w:rsidRPr="003162BA">
        <w:rPr>
          <w:rFonts w:eastAsia="Calibri"/>
          <w:b/>
          <w:bCs/>
          <w:iCs/>
          <w:szCs w:val="22"/>
        </w:rPr>
        <w:t>: “</w:t>
      </w:r>
      <w:r w:rsidRPr="003162BA">
        <w:rPr>
          <w:rFonts w:eastAsia="Calibri"/>
          <w:iCs/>
          <w:szCs w:val="22"/>
        </w:rPr>
        <w:t>Cada Parte Contratante, con arreglo a sus condiciones y capacidades particulares: a) Elaborará estrategias, planes o programas nacionales para la conservación y la utilización sostenible de la diversidad biológica o adaptará para ese fin las estrategias, planes o programas existentes, que habrán de reflejar, entre otras cosas, las medidas establecidas en el presente Convenio que sean pertinentes para la Parte Contratante interesada; y b) Integrará, en la medida de lo posible y según proceda, la conservación y la utilización sostenible de la diversidad biológica en los planes, programas y políticas sectoriales o intersectoriales.</w:t>
      </w:r>
    </w:p>
    <w:p w:rsidR="003162BA" w:rsidRDefault="003162BA" w:rsidP="000547CB">
      <w:pPr>
        <w:autoSpaceDE w:val="0"/>
        <w:autoSpaceDN w:val="0"/>
        <w:adjustRightInd w:val="0"/>
        <w:rPr>
          <w:rFonts w:eastAsia="Calibri"/>
          <w:bCs/>
          <w:iCs/>
          <w:szCs w:val="22"/>
        </w:rPr>
      </w:pPr>
      <w:r w:rsidRPr="003162BA">
        <w:rPr>
          <w:rFonts w:eastAsia="Calibri"/>
          <w:iCs/>
          <w:szCs w:val="22"/>
          <w:lang w:val="es-CO"/>
        </w:rPr>
        <w:lastRenderedPageBreak/>
        <w:t>Tales objetivos y actividades incluyen a los ecosistemas forestales y sus componentes, que son parte de dicha diversidad biológica. Y, del mismo modo,</w:t>
      </w:r>
      <w:r w:rsidR="007B1CC8">
        <w:rPr>
          <w:rFonts w:eastAsia="Calibri"/>
          <w:iCs/>
          <w:szCs w:val="22"/>
          <w:lang w:val="es-CO"/>
        </w:rPr>
        <w:t xml:space="preserve"> </w:t>
      </w:r>
      <w:r w:rsidRPr="003162BA">
        <w:rPr>
          <w:rFonts w:eastAsia="Calibri"/>
          <w:iCs/>
          <w:szCs w:val="22"/>
          <w:lang w:val="es-CO"/>
        </w:rPr>
        <w:t xml:space="preserve">con la norma se establecen efectos vinculantes con respecto a acciones tales como </w:t>
      </w:r>
      <w:r w:rsidRPr="003162BA">
        <w:rPr>
          <w:rFonts w:eastAsia="Calibri"/>
          <w:bCs/>
          <w:iCs/>
          <w:szCs w:val="22"/>
        </w:rPr>
        <w:t>MEDIDAS GENERALES A LOS EFECTOS DE LA CONSERVACIÓN Y LA UTILIZACIÓN SOSTENIBLE, IDENTIFICACIÓN Y SEGUIMIENTO, CONSERVACIÓN IN SITU, CONSERVACIÓN EX SITU, UTILIZACIÓN SOSTENIBLE DE LOS COMPONENTES DE LA DIVERSIDAD BIOLÓGICA,</w:t>
      </w:r>
      <w:r w:rsidRPr="003162BA">
        <w:rPr>
          <w:bCs/>
          <w:color w:val="000000"/>
          <w:sz w:val="27"/>
          <w:szCs w:val="27"/>
          <w:shd w:val="clear" w:color="auto" w:fill="FFFFFF"/>
        </w:rPr>
        <w:t xml:space="preserve"> </w:t>
      </w:r>
      <w:r w:rsidRPr="003162BA">
        <w:rPr>
          <w:rFonts w:eastAsia="Calibri"/>
          <w:bCs/>
          <w:iCs/>
          <w:szCs w:val="22"/>
        </w:rPr>
        <w:t>ACCESO A LOS RECURSOS GENÉTICOS, entre otros tópicos. Posteriormente, y a partir de esta Ley, el país adelanto diferentes desarrollos normativos y de política, tales como la Política Nacional para la Gestión Integral de la Biodiversidad y sus Servicios Ecosistémicos, entre otros.</w:t>
      </w:r>
    </w:p>
    <w:p w:rsidR="003162BA" w:rsidRPr="003162BA" w:rsidRDefault="003162BA" w:rsidP="00446ECB">
      <w:pPr>
        <w:widowControl w:val="0"/>
        <w:numPr>
          <w:ilvl w:val="0"/>
          <w:numId w:val="11"/>
        </w:numPr>
        <w:autoSpaceDE w:val="0"/>
        <w:autoSpaceDN w:val="0"/>
        <w:adjustRightInd w:val="0"/>
        <w:ind w:left="426" w:hanging="426"/>
        <w:contextualSpacing/>
        <w:rPr>
          <w:rFonts w:eastAsia="Calibri"/>
          <w:b/>
          <w:iCs/>
          <w:szCs w:val="22"/>
          <w:lang w:val="es-CO"/>
        </w:rPr>
      </w:pPr>
      <w:r w:rsidRPr="003162BA">
        <w:rPr>
          <w:rFonts w:eastAsia="Calibri"/>
          <w:b/>
          <w:iCs/>
          <w:szCs w:val="22"/>
          <w:lang w:val="es-CO"/>
        </w:rPr>
        <w:t xml:space="preserve">Decisión 391 de 1996 del Acuerdo de Cartagena: Régimen Común sobre Acceso a los Recursos Genéticos. </w:t>
      </w:r>
    </w:p>
    <w:p w:rsidR="003162BA" w:rsidRPr="003162BA" w:rsidRDefault="003162BA" w:rsidP="000547CB">
      <w:pPr>
        <w:autoSpaceDE w:val="0"/>
        <w:autoSpaceDN w:val="0"/>
        <w:adjustRightInd w:val="0"/>
        <w:rPr>
          <w:rFonts w:eastAsia="Calibri"/>
          <w:iCs/>
          <w:szCs w:val="22"/>
          <w:lang w:val="es-CO"/>
        </w:rPr>
      </w:pPr>
      <w:r w:rsidRPr="003162BA">
        <w:rPr>
          <w:rFonts w:eastAsia="Calibri"/>
          <w:iCs/>
          <w:szCs w:val="22"/>
          <w:lang w:val="es-CO"/>
        </w:rPr>
        <w:t xml:space="preserve">Esta decisión incluye a los recursos genéticos existentes en los bosques naturales y de más ecosistemas forestales, por lo cual para su utilización y manejo deben ser considerados los elementos legales de acceso a los mismos. Y, del mismo modo, se facilitan mecanismos para su investigación, desarrollo tecnológico, difusión y reconocimiento del saber tradicional, entre otros aspectos. </w:t>
      </w:r>
    </w:p>
    <w:p w:rsidR="003162BA" w:rsidRPr="003162BA" w:rsidRDefault="003162BA" w:rsidP="00446ECB">
      <w:pPr>
        <w:widowControl w:val="0"/>
        <w:numPr>
          <w:ilvl w:val="0"/>
          <w:numId w:val="11"/>
        </w:numPr>
        <w:ind w:left="426" w:hanging="426"/>
        <w:contextualSpacing/>
        <w:rPr>
          <w:b/>
          <w:szCs w:val="22"/>
          <w:lang w:val="es-CO"/>
        </w:rPr>
      </w:pPr>
      <w:r w:rsidRPr="003162BA">
        <w:rPr>
          <w:rFonts w:eastAsia="Calibri"/>
          <w:b/>
          <w:iCs/>
          <w:szCs w:val="22"/>
          <w:lang w:val="es-CO"/>
        </w:rPr>
        <w:t>Ley 388 de 1997: “Por la cual se modifica la Ley 9 de 1989 y la Ley 2 de 1991 y se dictan otras disposiciones”.</w:t>
      </w:r>
    </w:p>
    <w:p w:rsidR="003162BA" w:rsidRPr="003162BA" w:rsidRDefault="003162BA" w:rsidP="002B77EB">
      <w:r w:rsidRPr="003162BA">
        <w:t>Esta ley es conocida genéricamente como la ley de ordenamiento territorial (OT). El OT municipal y distrital tiene su fundamento en el Artículo 311 de la Constitución Política el cual establece para los municipios el deber de "ordenar el desarrollo de sus territorios". Este precepto fue retomado por la Ley Orgánica del Plan de Desarrollo (Ley 152/94), en su Artículo 41, donde se establece que los municipios, además de los planes de desarrollo, deben contar con un plan de ordenamiento territorial, elaborado con el apoyo técnico y las orientaciones del Gobierno Nacional y los departamentos.</w:t>
      </w:r>
    </w:p>
    <w:p w:rsidR="003162BA" w:rsidRPr="003162BA" w:rsidRDefault="003162BA" w:rsidP="002B77EB">
      <w:r w:rsidRPr="003162BA">
        <w:t>La Ley 388 de 1997 desarrolla los anteriores preceptos constitucionales y legales, dando al OT municipal las bases legales para su aplicación. Dicha ley parte de la definición del ordenamiento territorial municipal y distrital en los términos de que éste "comprende un conjunto de acciones político-administrativas y de planificación física concertados, en ejercicio de la función pública que les compete...en orden a disponer de instrumentos eficientes para orientar el desarrollo del territorio bajo su jurisdicción y regular la utilización, transformación y ocupación del espacio, de acuerdo con las estrategias de desarrollo socioeconómico y en armonía con el medio ambiente y las tradiciones históricas y culturales" (Ley 388/97, art. 5).</w:t>
      </w:r>
    </w:p>
    <w:p w:rsidR="003162BA" w:rsidRPr="003162BA" w:rsidRDefault="003162BA" w:rsidP="002B77EB">
      <w:r w:rsidRPr="003162BA">
        <w:t>El OT municipal y distrital se realiza con el objeto de complementar la planificación económica y social con la dimensión territorial, racionalizar las actuaciones sobre el territorio y orientar su desarrollo y aprovechamiento sostenible, mediante la definición de estrategias de uso ocupación y manejo del suelo, actuaciones urbanas integrales y articulación de las actuaciones sectoriales que afectan la estructura del territorio municipal o distrital. Todo ello, tomando en cuenta los objetivos económicos, sociales y ambientales, las relaciones intermunicipales, metropolitanas y regionales, las condiciones de diversidad étnica y preservación del patrimonio cultural y la incorporación de instrumentos que permitan regular las dinámicas de transformación territorial de manera que se optimice la utilización de los recursos naturales y humanos para el logro de condiciones de vida dignas para la población actual y futura (Ley 388/97, art.6).</w:t>
      </w:r>
    </w:p>
    <w:p w:rsidR="003162BA" w:rsidRPr="003162BA" w:rsidRDefault="003162BA" w:rsidP="002B77EB">
      <w:pPr>
        <w:rPr>
          <w:rFonts w:eastAsia="Calibri"/>
          <w:i/>
        </w:rPr>
      </w:pPr>
      <w:r w:rsidRPr="003162BA">
        <w:t>S</w:t>
      </w:r>
      <w:r w:rsidRPr="003162BA">
        <w:rPr>
          <w:rFonts w:eastAsia="Calibri"/>
        </w:rPr>
        <w:t>egún el CAPÍTULO III de la Ley 388 de 1997, reglamentado por el Decreto Nacional 879 de 1998, en su Artículo</w:t>
      </w:r>
      <w:r w:rsidR="007B1CC8">
        <w:rPr>
          <w:rFonts w:eastAsia="Calibri"/>
        </w:rPr>
        <w:t xml:space="preserve"> </w:t>
      </w:r>
      <w:r w:rsidRPr="003162BA">
        <w:rPr>
          <w:rFonts w:eastAsia="Calibri"/>
        </w:rPr>
        <w:t>9º menciona que el Plan de Ordenamiento Territorial es: “</w:t>
      </w:r>
      <w:r w:rsidRPr="003162BA">
        <w:rPr>
          <w:rFonts w:eastAsia="Calibri"/>
          <w:i/>
        </w:rPr>
        <w:t>el instrumento básico para desarrollar el proceso de ordenamiento del territorio municipal”</w:t>
      </w:r>
      <w:r w:rsidRPr="003162BA">
        <w:rPr>
          <w:rFonts w:eastAsia="Calibri"/>
        </w:rPr>
        <w:t xml:space="preserve">. Y, a su vez, lo define como: “el conjunto de objetivos, directrices, políticas, estrategias, metas, programas, actuaciones y normas adoptadas para orientar y administrar el desarrollo físico del territorio y la utilización del suelo”. </w:t>
      </w:r>
    </w:p>
    <w:p w:rsidR="003162BA" w:rsidRPr="003162BA" w:rsidRDefault="003162BA" w:rsidP="000547CB">
      <w:pPr>
        <w:rPr>
          <w:szCs w:val="22"/>
        </w:rPr>
      </w:pPr>
      <w:r w:rsidRPr="003162BA">
        <w:rPr>
          <w:szCs w:val="22"/>
        </w:rPr>
        <w:t xml:space="preserve">Del mismo modo se halla que el Artículo 10º de la misma </w:t>
      </w:r>
      <w:r w:rsidRPr="003162BA">
        <w:rPr>
          <w:rFonts w:eastAsia="Calibri"/>
          <w:szCs w:val="22"/>
        </w:rPr>
        <w:t>Ley 388 de 1997, r</w:t>
      </w:r>
      <w:r w:rsidRPr="003162BA">
        <w:rPr>
          <w:szCs w:val="22"/>
        </w:rPr>
        <w:t>eglamentado por el Decreto Nacional 2201 de 2003, sobre determinantes de los planes de ordenamiento territorial, reza que: “En la elaboración y adopción de sus planes de ordenamiento territorial los municipios y distritos deberán tener en cuenta las siguientes determinantes, que constituyen normas de superior jerarquía, en sus propios ámbitos de competencia, de acuerdo con la Constitución y las leyes:</w:t>
      </w:r>
    </w:p>
    <w:p w:rsidR="003162BA" w:rsidRPr="003162BA" w:rsidRDefault="003162BA" w:rsidP="000547CB">
      <w:pPr>
        <w:rPr>
          <w:szCs w:val="22"/>
        </w:rPr>
      </w:pPr>
    </w:p>
    <w:p w:rsidR="003162BA" w:rsidRPr="003162BA" w:rsidRDefault="003162BA" w:rsidP="000547CB">
      <w:pPr>
        <w:ind w:left="284" w:hanging="284"/>
        <w:rPr>
          <w:i/>
          <w:szCs w:val="22"/>
        </w:rPr>
      </w:pPr>
      <w:r w:rsidRPr="003162BA">
        <w:rPr>
          <w:i/>
          <w:szCs w:val="22"/>
        </w:rPr>
        <w:lastRenderedPageBreak/>
        <w:t>1.</w:t>
      </w:r>
      <w:r w:rsidR="007B1CC8">
        <w:rPr>
          <w:i/>
          <w:szCs w:val="22"/>
        </w:rPr>
        <w:t xml:space="preserve"> </w:t>
      </w:r>
      <w:r w:rsidRPr="003162BA">
        <w:rPr>
          <w:i/>
          <w:szCs w:val="22"/>
        </w:rPr>
        <w:t>Las relacionadas con la conservación y protección del medio ambiente, los recursos naturales, la prevención de amenazas y riesgos naturales, así:</w:t>
      </w:r>
    </w:p>
    <w:p w:rsidR="003162BA" w:rsidRPr="003162BA" w:rsidRDefault="003162BA" w:rsidP="000547CB">
      <w:pPr>
        <w:ind w:left="426" w:hanging="426"/>
        <w:rPr>
          <w:i/>
          <w:szCs w:val="22"/>
        </w:rPr>
      </w:pPr>
      <w:r w:rsidRPr="003162BA">
        <w:rPr>
          <w:i/>
          <w:szCs w:val="22"/>
        </w:rPr>
        <w:t xml:space="preserve">a) </w:t>
      </w:r>
      <w:r w:rsidRPr="003162BA">
        <w:rPr>
          <w:i/>
          <w:szCs w:val="22"/>
        </w:rPr>
        <w:tab/>
        <w:t>Las directrices, normas y reglamentos expedidos en ejercicio de sus respectivas facultades legales, por las entidades del Sistema Nacional Ambiental, en los aspectos relacionados con el ordenamiento espacial del territorio, de acuerdo con la Ley 99 de 1993 y el Código de Recursos Naturales, tales como las limitaciones derivadas de estatuto de zonificación de uso adecuado del territorio y las regulaciones nacionales sobre uso del suelo en lo concerniente exclusivamente a sus aspectos ambientales;</w:t>
      </w:r>
    </w:p>
    <w:p w:rsidR="003162BA" w:rsidRPr="003162BA" w:rsidRDefault="003162BA" w:rsidP="000547CB">
      <w:pPr>
        <w:ind w:left="426" w:hanging="426"/>
        <w:rPr>
          <w:szCs w:val="22"/>
        </w:rPr>
      </w:pPr>
      <w:r w:rsidRPr="003162BA">
        <w:rPr>
          <w:i/>
          <w:szCs w:val="22"/>
        </w:rPr>
        <w:t xml:space="preserve">b) </w:t>
      </w:r>
      <w:r w:rsidRPr="003162BA">
        <w:rPr>
          <w:i/>
          <w:szCs w:val="22"/>
        </w:rPr>
        <w:tab/>
        <w:t>Las regulaciones sobre conservación, preservación, uso y manejo del medio ambiente y de los recursos naturales renovables, en las zonas marinas y costeras; las disposiciones producidas por la autoridad ambiental de la respectiva jurisdicción, en cuanto a la reserva, alindamiento, administración o sustracción de los distritos de manejo integrado, los distritos de conservación de suelos, las reservas forestales y parques naturales de carácter regional; las normas y directrices para el manejo de las cuencas hidrográficas expedidas por la Autoridad Ambiental Regional o la autoridad ambiental de la respectiva jurisdicción; y las directrices y normas expedidas por las autoridades ambientales para la conservación de las áreas de especial importancia ecosistémica”</w:t>
      </w:r>
      <w:r w:rsidRPr="003162BA">
        <w:rPr>
          <w:szCs w:val="22"/>
        </w:rPr>
        <w:t>…</w:t>
      </w:r>
    </w:p>
    <w:p w:rsidR="003162BA" w:rsidRPr="003162BA" w:rsidRDefault="003162BA" w:rsidP="002B77EB">
      <w:r w:rsidRPr="003162BA">
        <w:t>Con base en lo anterior, los planes de ordenación forestal y el manejo forestal deberán estar armonizados con los planes de ordenación del territorio de los municipios. Y, el componente ambiental de estos es objeto de revisión y concepto por parte de las autoridades ambientales regionales y nacionales.</w:t>
      </w:r>
    </w:p>
    <w:p w:rsidR="003162BA" w:rsidRPr="003162BA" w:rsidRDefault="003162BA" w:rsidP="00446ECB">
      <w:pPr>
        <w:widowControl w:val="0"/>
        <w:numPr>
          <w:ilvl w:val="0"/>
          <w:numId w:val="11"/>
        </w:numPr>
        <w:ind w:left="426" w:hanging="426"/>
        <w:contextualSpacing/>
        <w:rPr>
          <w:b/>
          <w:iCs/>
          <w:szCs w:val="22"/>
          <w:lang w:val="es-CO"/>
        </w:rPr>
      </w:pPr>
      <w:r w:rsidRPr="003162BA">
        <w:rPr>
          <w:b/>
          <w:iCs/>
          <w:szCs w:val="22"/>
          <w:lang w:val="es-CO"/>
        </w:rPr>
        <w:t>Ley 1458 de 2011: Por medio de la cual se aprueba el “Convenio Internacional de Maderas Tropicales, 2006”, hecho en Ginebra el 27 de enero de 2006.</w:t>
      </w:r>
    </w:p>
    <w:p w:rsidR="003162BA" w:rsidRPr="003162BA" w:rsidRDefault="003162BA" w:rsidP="000547CB">
      <w:pPr>
        <w:contextualSpacing/>
        <w:rPr>
          <w:szCs w:val="22"/>
          <w:lang w:val="es-CO"/>
        </w:rPr>
      </w:pPr>
      <w:r w:rsidRPr="003162BA">
        <w:rPr>
          <w:szCs w:val="22"/>
          <w:lang w:val="es-CO"/>
        </w:rPr>
        <w:t>Mediante esta Ley el Estado Colombiano se adhiere a los objetivos del Convenio Internacional de las Maderas Tropicales, 2006 como son promover la expansión y diversificación del comercio internacional de maderas tropicales de bosques ordenados de forma sostenible y aprovechados legalmente y promover la ordenación sostenible de los bosques productores de maderas tropicales. De esta manera cuenta con una base legal, conceptual e institucional para adelantar actividades específicas de gestión y fomento para utilización, conservación y manejo sostenible de los bosques naturales.</w:t>
      </w:r>
    </w:p>
    <w:p w:rsidR="003162BA" w:rsidRPr="003162BA" w:rsidRDefault="003162BA" w:rsidP="00446ECB">
      <w:pPr>
        <w:widowControl w:val="0"/>
        <w:numPr>
          <w:ilvl w:val="0"/>
          <w:numId w:val="11"/>
        </w:numPr>
        <w:ind w:left="426" w:hanging="426"/>
        <w:contextualSpacing/>
        <w:rPr>
          <w:szCs w:val="22"/>
          <w:lang w:val="es-CO"/>
        </w:rPr>
      </w:pPr>
      <w:r w:rsidRPr="003162BA">
        <w:rPr>
          <w:b/>
          <w:iCs/>
          <w:szCs w:val="22"/>
          <w:lang w:val="es-CO"/>
        </w:rPr>
        <w:t>Ley 629 de 2000: “Por medio de la cual se aprueba el Protocolo de Kyoto de la Convención Marco de las Naciones Unidas sobre el Cambio Climático”.</w:t>
      </w:r>
    </w:p>
    <w:p w:rsidR="003162BA" w:rsidRPr="003162BA" w:rsidRDefault="003162BA" w:rsidP="00446ECB">
      <w:pPr>
        <w:widowControl w:val="0"/>
        <w:numPr>
          <w:ilvl w:val="0"/>
          <w:numId w:val="11"/>
        </w:numPr>
        <w:ind w:left="426" w:hanging="426"/>
        <w:contextualSpacing/>
        <w:rPr>
          <w:b/>
          <w:szCs w:val="22"/>
          <w:lang w:val="es-CO"/>
        </w:rPr>
      </w:pPr>
      <w:r w:rsidRPr="003162BA">
        <w:rPr>
          <w:b/>
          <w:szCs w:val="22"/>
          <w:lang w:val="es-CO"/>
        </w:rPr>
        <w:t>Decreto Número 1640 de 2012: “Por medio del cual se reglamentan los instrumentos para la planificación, ordenación y manejo de las cuencas hidrográficas y acuíferos, y se dictan otras disposiciones”.</w:t>
      </w:r>
    </w:p>
    <w:p w:rsidR="003162BA" w:rsidRPr="003162BA" w:rsidRDefault="003162BA" w:rsidP="000547CB">
      <w:pPr>
        <w:autoSpaceDE w:val="0"/>
        <w:autoSpaceDN w:val="0"/>
        <w:adjustRightInd w:val="0"/>
        <w:rPr>
          <w:rFonts w:eastAsia="Calibri"/>
          <w:szCs w:val="22"/>
        </w:rPr>
      </w:pPr>
      <w:r w:rsidRPr="003162BA">
        <w:rPr>
          <w:rFonts w:eastAsia="Calibri"/>
          <w:szCs w:val="22"/>
        </w:rPr>
        <w:t>Este Decreto establece varias relaciones entre el manejo forestal y el Plan de Ordenación y Manejo de la Cuenca Hidrográfica, que reglamentan y condicionan las actividades de uso y conservación de los bosques.</w:t>
      </w:r>
    </w:p>
    <w:p w:rsidR="003162BA" w:rsidRPr="003162BA" w:rsidRDefault="003162BA" w:rsidP="000547CB">
      <w:pPr>
        <w:autoSpaceDE w:val="0"/>
        <w:autoSpaceDN w:val="0"/>
        <w:adjustRightInd w:val="0"/>
        <w:rPr>
          <w:rFonts w:eastAsia="Calibri"/>
          <w:szCs w:val="22"/>
        </w:rPr>
      </w:pPr>
      <w:r w:rsidRPr="003162BA">
        <w:rPr>
          <w:rFonts w:eastAsia="Calibri"/>
          <w:szCs w:val="22"/>
        </w:rPr>
        <w:t xml:space="preserve">Es así como en su ARTÍCULO 28. </w:t>
      </w:r>
      <w:r w:rsidRPr="003162BA">
        <w:rPr>
          <w:rFonts w:eastAsia="Calibri"/>
          <w:i/>
          <w:iCs/>
          <w:szCs w:val="22"/>
        </w:rPr>
        <w:t xml:space="preserve">De la armonización de los instrumentos de planificación, </w:t>
      </w:r>
      <w:r w:rsidRPr="003162BA">
        <w:rPr>
          <w:rFonts w:eastAsia="Calibri"/>
          <w:iCs/>
          <w:szCs w:val="22"/>
        </w:rPr>
        <w:t>reza: “</w:t>
      </w:r>
      <w:r w:rsidRPr="003162BA">
        <w:rPr>
          <w:rFonts w:eastAsia="Calibri"/>
          <w:szCs w:val="22"/>
        </w:rPr>
        <w:t>Dentro de las fases de elaboración del Plan de Ordenación y Manejo de la Cuenca Hidrográfica se deberá considerar los instrumentos de planificación y/o manejo de recursos naturales renovables existentes; en caso de ser conducente, dichos instrumentos deben ser ajustados y armonizados por la respectiva autoridad ambiental competente en la fase de ejecución, a la luz de lo definido en el respectivo plan. Para este fin, deberá tenerse en cuenta entre otros los siguientes instrumentos:</w:t>
      </w:r>
    </w:p>
    <w:p w:rsidR="003162BA" w:rsidRPr="002B77EB" w:rsidRDefault="003162BA" w:rsidP="00446ECB">
      <w:pPr>
        <w:pStyle w:val="Prrafodelista"/>
        <w:numPr>
          <w:ilvl w:val="0"/>
          <w:numId w:val="48"/>
        </w:numPr>
        <w:rPr>
          <w:lang w:val="es-CO"/>
        </w:rPr>
      </w:pPr>
      <w:r w:rsidRPr="002B77EB">
        <w:rPr>
          <w:lang w:val="es-CO"/>
        </w:rPr>
        <w:t>Planes de Manejo de Humedales.</w:t>
      </w:r>
    </w:p>
    <w:p w:rsidR="003162BA" w:rsidRPr="002B77EB" w:rsidRDefault="003162BA" w:rsidP="00446ECB">
      <w:pPr>
        <w:pStyle w:val="Prrafodelista"/>
        <w:numPr>
          <w:ilvl w:val="0"/>
          <w:numId w:val="48"/>
        </w:numPr>
        <w:rPr>
          <w:lang w:val="es-CO"/>
        </w:rPr>
      </w:pPr>
      <w:r w:rsidRPr="002B77EB">
        <w:rPr>
          <w:lang w:val="es-CO"/>
        </w:rPr>
        <w:t>Plan de Manejo de Páramos.</w:t>
      </w:r>
    </w:p>
    <w:p w:rsidR="003162BA" w:rsidRPr="002B77EB" w:rsidRDefault="003162BA" w:rsidP="00446ECB">
      <w:pPr>
        <w:pStyle w:val="Prrafodelista"/>
        <w:numPr>
          <w:ilvl w:val="0"/>
          <w:numId w:val="48"/>
        </w:numPr>
        <w:rPr>
          <w:lang w:val="es-CO"/>
        </w:rPr>
      </w:pPr>
      <w:r w:rsidRPr="002B77EB">
        <w:rPr>
          <w:lang w:val="es-CO"/>
        </w:rPr>
        <w:t>Planes de Manejo Integrales de Manglares.</w:t>
      </w:r>
    </w:p>
    <w:p w:rsidR="003162BA" w:rsidRPr="002B77EB" w:rsidRDefault="003162BA" w:rsidP="00446ECB">
      <w:pPr>
        <w:pStyle w:val="Prrafodelista"/>
        <w:numPr>
          <w:ilvl w:val="0"/>
          <w:numId w:val="48"/>
        </w:numPr>
        <w:rPr>
          <w:lang w:val="es-CO"/>
        </w:rPr>
      </w:pPr>
      <w:r w:rsidRPr="002B77EB">
        <w:rPr>
          <w:lang w:val="es-CO"/>
        </w:rPr>
        <w:t>Delimitación de Rondas Hídricas</w:t>
      </w:r>
    </w:p>
    <w:p w:rsidR="003162BA" w:rsidRPr="002B77EB" w:rsidRDefault="003162BA" w:rsidP="00446ECB">
      <w:pPr>
        <w:pStyle w:val="Prrafodelista"/>
        <w:numPr>
          <w:ilvl w:val="0"/>
          <w:numId w:val="48"/>
        </w:numPr>
        <w:rPr>
          <w:lang w:val="es-CO"/>
        </w:rPr>
      </w:pPr>
      <w:r w:rsidRPr="002B77EB">
        <w:rPr>
          <w:lang w:val="es-CO"/>
        </w:rPr>
        <w:t>Planes de Manejo Forestal y Planes de Aprovechamiento Forestal.</w:t>
      </w:r>
    </w:p>
    <w:p w:rsidR="003162BA" w:rsidRPr="002B77EB" w:rsidRDefault="003162BA" w:rsidP="00446ECB">
      <w:pPr>
        <w:pStyle w:val="Prrafodelista"/>
        <w:numPr>
          <w:ilvl w:val="0"/>
          <w:numId w:val="48"/>
        </w:numPr>
        <w:rPr>
          <w:lang w:val="es-CO"/>
        </w:rPr>
      </w:pPr>
      <w:r w:rsidRPr="002B77EB">
        <w:rPr>
          <w:lang w:val="es-CO"/>
        </w:rPr>
        <w:t>Planes de Ordenamiento del Recurso Hídrico.</w:t>
      </w:r>
    </w:p>
    <w:p w:rsidR="003162BA" w:rsidRPr="002B77EB" w:rsidRDefault="003162BA" w:rsidP="00446ECB">
      <w:pPr>
        <w:pStyle w:val="Prrafodelista"/>
        <w:numPr>
          <w:ilvl w:val="0"/>
          <w:numId w:val="48"/>
        </w:numPr>
        <w:rPr>
          <w:lang w:val="es-CO"/>
        </w:rPr>
      </w:pPr>
      <w:r w:rsidRPr="002B77EB">
        <w:rPr>
          <w:lang w:val="es-CO"/>
        </w:rPr>
        <w:t>Reglamentación de Usos de Agua y de Vertimientos</w:t>
      </w:r>
    </w:p>
    <w:p w:rsidR="003162BA" w:rsidRPr="002B77EB" w:rsidRDefault="003162BA" w:rsidP="00446ECB">
      <w:pPr>
        <w:pStyle w:val="Prrafodelista"/>
        <w:numPr>
          <w:ilvl w:val="0"/>
          <w:numId w:val="48"/>
        </w:numPr>
        <w:rPr>
          <w:lang w:val="es-CO"/>
        </w:rPr>
      </w:pPr>
      <w:r w:rsidRPr="002B77EB">
        <w:rPr>
          <w:lang w:val="es-CO"/>
        </w:rPr>
        <w:t>El componente ambiental de los Programas de Agua para la Prosperidad.</w:t>
      </w:r>
    </w:p>
    <w:p w:rsidR="003162BA" w:rsidRPr="002B77EB" w:rsidRDefault="003162BA" w:rsidP="00446ECB">
      <w:pPr>
        <w:pStyle w:val="Prrafodelista"/>
        <w:numPr>
          <w:ilvl w:val="0"/>
          <w:numId w:val="48"/>
        </w:numPr>
        <w:rPr>
          <w:lang w:val="es-CO"/>
        </w:rPr>
      </w:pPr>
      <w:r w:rsidRPr="002B77EB">
        <w:rPr>
          <w:lang w:val="es-CO"/>
        </w:rPr>
        <w:t>Planes de vida y/o planes de etnodesarrollo en el componente ambiental.</w:t>
      </w:r>
    </w:p>
    <w:p w:rsidR="003162BA" w:rsidRPr="002B77EB" w:rsidRDefault="003162BA" w:rsidP="00446ECB">
      <w:pPr>
        <w:pStyle w:val="Prrafodelista"/>
        <w:numPr>
          <w:ilvl w:val="0"/>
          <w:numId w:val="48"/>
        </w:numPr>
        <w:rPr>
          <w:lang w:val="es-CO"/>
        </w:rPr>
      </w:pPr>
      <w:r w:rsidRPr="002B77EB">
        <w:rPr>
          <w:lang w:val="es-CO"/>
        </w:rPr>
        <w:t>Los demás instrumentos de planificación ambiental de los recursos naturales renovables.”</w:t>
      </w:r>
    </w:p>
    <w:p w:rsidR="003162BA" w:rsidRPr="003162BA" w:rsidRDefault="003162BA" w:rsidP="002B77EB">
      <w:pPr>
        <w:rPr>
          <w:b/>
          <w:lang w:val="es-CO"/>
        </w:rPr>
      </w:pPr>
    </w:p>
    <w:p w:rsidR="003162BA" w:rsidRPr="003162BA" w:rsidRDefault="003162BA" w:rsidP="002B77EB">
      <w:pPr>
        <w:rPr>
          <w:lang w:val="es-CO"/>
        </w:rPr>
      </w:pPr>
      <w:r w:rsidRPr="003162BA">
        <w:rPr>
          <w:lang w:val="es-CO"/>
        </w:rPr>
        <w:lastRenderedPageBreak/>
        <w:t xml:space="preserve">Y, además, en el ARTÍCULO 35. </w:t>
      </w:r>
      <w:r w:rsidRPr="003162BA">
        <w:rPr>
          <w:i/>
          <w:lang w:val="es-CO"/>
        </w:rPr>
        <w:t>De las medidas para la administración de los recursos naturales renovables</w:t>
      </w:r>
      <w:r w:rsidRPr="003162BA">
        <w:rPr>
          <w:lang w:val="es-CO"/>
        </w:rPr>
        <w:t>, determina que “En la fase de formulación</w:t>
      </w:r>
      <w:r w:rsidRPr="003162BA">
        <w:rPr>
          <w:vertAlign w:val="superscript"/>
          <w:lang w:val="es-CO"/>
        </w:rPr>
        <w:footnoteReference w:id="28"/>
      </w:r>
      <w:r w:rsidRPr="003162BA">
        <w:rPr>
          <w:lang w:val="es-CO"/>
        </w:rPr>
        <w:t xml:space="preserve"> se deberá definir e identificar los recursos naturales renovables que deben ser objeto de implementación de instrumentos de planificación y/o administración por parte de las autoridades ambientales competentes, tales como:</w:t>
      </w:r>
    </w:p>
    <w:p w:rsidR="003162BA" w:rsidRPr="002B77EB" w:rsidRDefault="003162BA" w:rsidP="00446ECB">
      <w:pPr>
        <w:pStyle w:val="Prrafodelista"/>
        <w:numPr>
          <w:ilvl w:val="0"/>
          <w:numId w:val="49"/>
        </w:numPr>
        <w:rPr>
          <w:lang w:val="es-CO"/>
        </w:rPr>
      </w:pPr>
      <w:r w:rsidRPr="002B77EB">
        <w:rPr>
          <w:lang w:val="es-CO"/>
        </w:rPr>
        <w:t>Bosques sujetos de restricción para aprovechamiento forestal.</w:t>
      </w:r>
    </w:p>
    <w:p w:rsidR="003162BA" w:rsidRPr="002B77EB" w:rsidRDefault="003162BA" w:rsidP="00446ECB">
      <w:pPr>
        <w:pStyle w:val="Prrafodelista"/>
        <w:numPr>
          <w:ilvl w:val="0"/>
          <w:numId w:val="49"/>
        </w:numPr>
        <w:rPr>
          <w:lang w:val="es-CO"/>
        </w:rPr>
      </w:pPr>
      <w:r w:rsidRPr="002B77EB">
        <w:rPr>
          <w:lang w:val="es-CO"/>
        </w:rPr>
        <w:t>Ecosistemas objeto de medidas de manejo ambiental.</w:t>
      </w:r>
    </w:p>
    <w:p w:rsidR="003162BA" w:rsidRPr="002B77EB" w:rsidRDefault="003162BA" w:rsidP="00446ECB">
      <w:pPr>
        <w:pStyle w:val="Prrafodelista"/>
        <w:numPr>
          <w:ilvl w:val="0"/>
          <w:numId w:val="49"/>
        </w:numPr>
        <w:rPr>
          <w:lang w:val="es-CO"/>
        </w:rPr>
      </w:pPr>
      <w:r w:rsidRPr="002B77EB">
        <w:rPr>
          <w:lang w:val="es-CO"/>
        </w:rPr>
        <w:t>Zonas sujetas a evaluación de riesgo.</w:t>
      </w:r>
    </w:p>
    <w:p w:rsidR="003162BA" w:rsidRPr="002B77EB" w:rsidRDefault="003162BA" w:rsidP="00446ECB">
      <w:pPr>
        <w:pStyle w:val="Prrafodelista"/>
        <w:numPr>
          <w:ilvl w:val="0"/>
          <w:numId w:val="49"/>
        </w:numPr>
        <w:rPr>
          <w:lang w:val="es-CO"/>
        </w:rPr>
      </w:pPr>
      <w:r w:rsidRPr="002B77EB">
        <w:rPr>
          <w:lang w:val="es-CO"/>
        </w:rPr>
        <w:t>Especies objeto de medidas de manejo ambiental</w:t>
      </w:r>
    </w:p>
    <w:p w:rsidR="003162BA" w:rsidRPr="002B77EB" w:rsidRDefault="003162BA" w:rsidP="00446ECB">
      <w:pPr>
        <w:pStyle w:val="Prrafodelista"/>
        <w:numPr>
          <w:ilvl w:val="0"/>
          <w:numId w:val="49"/>
        </w:numPr>
        <w:rPr>
          <w:lang w:val="es-CO"/>
        </w:rPr>
      </w:pPr>
      <w:r w:rsidRPr="002B77EB">
        <w:rPr>
          <w:lang w:val="es-CO"/>
        </w:rPr>
        <w:t>Áreas sujetas a declaratoria de áreas protegidas</w:t>
      </w:r>
    </w:p>
    <w:p w:rsidR="003162BA" w:rsidRPr="002B77EB" w:rsidRDefault="003162BA" w:rsidP="00446ECB">
      <w:pPr>
        <w:pStyle w:val="Prrafodelista"/>
        <w:numPr>
          <w:ilvl w:val="0"/>
          <w:numId w:val="49"/>
        </w:numPr>
        <w:rPr>
          <w:lang w:val="es-CO"/>
        </w:rPr>
      </w:pPr>
      <w:r w:rsidRPr="002B77EB">
        <w:rPr>
          <w:lang w:val="es-CO"/>
        </w:rPr>
        <w:t>Áreas de páramo objeto de delimitación o medidas de manejo</w:t>
      </w:r>
    </w:p>
    <w:p w:rsidR="003162BA" w:rsidRPr="002B77EB" w:rsidRDefault="003162BA" w:rsidP="00446ECB">
      <w:pPr>
        <w:pStyle w:val="Prrafodelista"/>
        <w:numPr>
          <w:ilvl w:val="0"/>
          <w:numId w:val="49"/>
        </w:numPr>
        <w:rPr>
          <w:lang w:val="es-CO"/>
        </w:rPr>
      </w:pPr>
      <w:r w:rsidRPr="002B77EB">
        <w:rPr>
          <w:lang w:val="es-CO"/>
        </w:rPr>
        <w:t>Áreas de humedales objeto de delimitación o medidas de manejo</w:t>
      </w:r>
    </w:p>
    <w:p w:rsidR="003162BA" w:rsidRPr="002B77EB" w:rsidRDefault="003162BA" w:rsidP="00446ECB">
      <w:pPr>
        <w:pStyle w:val="Prrafodelista"/>
        <w:numPr>
          <w:ilvl w:val="0"/>
          <w:numId w:val="49"/>
        </w:numPr>
        <w:rPr>
          <w:lang w:val="es-CO"/>
        </w:rPr>
      </w:pPr>
      <w:r w:rsidRPr="002B77EB">
        <w:rPr>
          <w:lang w:val="es-CO"/>
        </w:rPr>
        <w:t>Áreas de manglares objeto de delimitación o medidas de manejo</w:t>
      </w:r>
    </w:p>
    <w:p w:rsidR="003162BA" w:rsidRPr="002B77EB" w:rsidRDefault="003162BA" w:rsidP="00446ECB">
      <w:pPr>
        <w:pStyle w:val="Prrafodelista"/>
        <w:numPr>
          <w:ilvl w:val="0"/>
          <w:numId w:val="49"/>
        </w:numPr>
        <w:rPr>
          <w:lang w:val="es-CO"/>
        </w:rPr>
      </w:pPr>
      <w:r w:rsidRPr="002B77EB">
        <w:rPr>
          <w:lang w:val="es-CO"/>
        </w:rPr>
        <w:t>Cuerpos de agua y/o acuíferos sujetos a plan de ordenamiento del recurso hídrico.</w:t>
      </w:r>
    </w:p>
    <w:p w:rsidR="003162BA" w:rsidRPr="002B77EB" w:rsidRDefault="003162BA" w:rsidP="00446ECB">
      <w:pPr>
        <w:pStyle w:val="Prrafodelista"/>
        <w:numPr>
          <w:ilvl w:val="0"/>
          <w:numId w:val="49"/>
        </w:numPr>
        <w:rPr>
          <w:lang w:val="es-CO"/>
        </w:rPr>
      </w:pPr>
      <w:r w:rsidRPr="002B77EB">
        <w:rPr>
          <w:lang w:val="es-CO"/>
        </w:rPr>
        <w:t>Cuerpos de agua y/o acuíferos sujetos a reglamentación del uso de las aguas.</w:t>
      </w:r>
    </w:p>
    <w:p w:rsidR="003162BA" w:rsidRPr="002B77EB" w:rsidRDefault="003162BA" w:rsidP="00446ECB">
      <w:pPr>
        <w:pStyle w:val="Prrafodelista"/>
        <w:numPr>
          <w:ilvl w:val="0"/>
          <w:numId w:val="49"/>
        </w:numPr>
        <w:rPr>
          <w:lang w:val="es-CO"/>
        </w:rPr>
      </w:pPr>
      <w:r w:rsidRPr="002B77EB">
        <w:rPr>
          <w:lang w:val="es-CO"/>
        </w:rPr>
        <w:t>Cuerpos de agua sujetos a reglamentación de vertimientos.</w:t>
      </w:r>
    </w:p>
    <w:p w:rsidR="003162BA" w:rsidRPr="002B77EB" w:rsidRDefault="003162BA" w:rsidP="00446ECB">
      <w:pPr>
        <w:pStyle w:val="Prrafodelista"/>
        <w:numPr>
          <w:ilvl w:val="0"/>
          <w:numId w:val="49"/>
        </w:numPr>
        <w:rPr>
          <w:lang w:val="es-CO"/>
        </w:rPr>
      </w:pPr>
      <w:r w:rsidRPr="002B77EB">
        <w:rPr>
          <w:lang w:val="es-CO"/>
        </w:rPr>
        <w:t>Cauces, playas y lechos sujetos de restricción para ocupación.</w:t>
      </w:r>
    </w:p>
    <w:p w:rsidR="003162BA" w:rsidRPr="002B77EB" w:rsidRDefault="003162BA" w:rsidP="00446ECB">
      <w:pPr>
        <w:pStyle w:val="Prrafodelista"/>
        <w:numPr>
          <w:ilvl w:val="0"/>
          <w:numId w:val="49"/>
        </w:numPr>
        <w:rPr>
          <w:lang w:val="es-CO"/>
        </w:rPr>
      </w:pPr>
      <w:r w:rsidRPr="002B77EB">
        <w:rPr>
          <w:lang w:val="es-CO"/>
        </w:rPr>
        <w:t>Cuerpos de agua priorizadas para la definición de ronda hídrica.</w:t>
      </w:r>
    </w:p>
    <w:p w:rsidR="003162BA" w:rsidRPr="002B77EB" w:rsidRDefault="003162BA" w:rsidP="00446ECB">
      <w:pPr>
        <w:pStyle w:val="Prrafodelista"/>
        <w:numPr>
          <w:ilvl w:val="0"/>
          <w:numId w:val="49"/>
        </w:numPr>
        <w:rPr>
          <w:lang w:val="es-CO"/>
        </w:rPr>
      </w:pPr>
      <w:r w:rsidRPr="002B77EB">
        <w:rPr>
          <w:lang w:val="es-CO"/>
        </w:rPr>
        <w:t>Acuíferos objeto de plan de manejo ambiental.”</w:t>
      </w:r>
    </w:p>
    <w:p w:rsidR="00CD09BB" w:rsidRDefault="00CD09BB" w:rsidP="00446ECB">
      <w:pPr>
        <w:pStyle w:val="Prrafodelista"/>
        <w:numPr>
          <w:ilvl w:val="0"/>
          <w:numId w:val="13"/>
        </w:numPr>
        <w:ind w:left="426" w:hanging="426"/>
        <w:rPr>
          <w:rFonts w:cs="Arial"/>
          <w:szCs w:val="22"/>
        </w:rPr>
      </w:pPr>
      <w:r w:rsidRPr="00CD09BB">
        <w:rPr>
          <w:rFonts w:cs="Arial"/>
          <w:b/>
          <w:szCs w:val="22"/>
        </w:rPr>
        <w:t xml:space="preserve">Decreto No. 1390 de 2018. </w:t>
      </w:r>
      <w:r w:rsidRPr="00CD09BB">
        <w:rPr>
          <w:rFonts w:cs="Arial"/>
          <w:szCs w:val="22"/>
        </w:rPr>
        <w:t>"Por el cual se adiciona un Capítulo al Título 9, de la Parte 2, del Libro 2, del Decreto 1076 de 2015, Decreto Único Reglamentario del Sector Ambiente y Desarrollo Sostenible, en lo relacionado con la Tasa Compensatoria por Aprovechamiento Forestal Maderable en bosques naturales y se dictan otras disposiciones".</w:t>
      </w:r>
    </w:p>
    <w:p w:rsidR="00CD09BB" w:rsidRDefault="00CD09BB" w:rsidP="00446ECB">
      <w:pPr>
        <w:pStyle w:val="Prrafodelista"/>
        <w:numPr>
          <w:ilvl w:val="0"/>
          <w:numId w:val="13"/>
        </w:numPr>
        <w:ind w:left="426"/>
        <w:rPr>
          <w:rFonts w:cs="Arial"/>
          <w:szCs w:val="22"/>
        </w:rPr>
      </w:pPr>
      <w:r w:rsidRPr="00CD09BB">
        <w:rPr>
          <w:rFonts w:cs="Arial"/>
          <w:b/>
          <w:szCs w:val="22"/>
        </w:rPr>
        <w:t>Decreto Ley 870 de 2017</w:t>
      </w:r>
      <w:r w:rsidRPr="00CD09BB">
        <w:rPr>
          <w:rFonts w:cs="Arial"/>
          <w:szCs w:val="22"/>
        </w:rPr>
        <w:t>. Por el cual se establece el Pago por Servicios Ambientales y otros incentivos a la conservación; y que define el pago por servicios ambientales como el incentivo económico en dinero o en especie que reconocen los interesados de los servicios ambientales a los propietarios, poseedores u ocupantes de buena fe exenta de culpa de los predios que se pretenden proteger y conservar por las acciones de preservación y restauración en áreas estratégicas, mediante la celebración de acuerdos voluntarios entre los interesados de los servicios ambientales y beneficiarios del incentivo.</w:t>
      </w:r>
    </w:p>
    <w:p w:rsidR="00842CCD" w:rsidRPr="00842CCD" w:rsidRDefault="00842CCD" w:rsidP="00446ECB">
      <w:pPr>
        <w:pStyle w:val="Prrafodelista"/>
        <w:numPr>
          <w:ilvl w:val="0"/>
          <w:numId w:val="13"/>
        </w:numPr>
        <w:ind w:left="426"/>
        <w:rPr>
          <w:rFonts w:cs="Arial"/>
          <w:szCs w:val="22"/>
        </w:rPr>
      </w:pPr>
      <w:r w:rsidRPr="00842CCD">
        <w:rPr>
          <w:rFonts w:cs="Arial"/>
          <w:b/>
          <w:szCs w:val="22"/>
        </w:rPr>
        <w:t>Decreto 1007 del 2018</w:t>
      </w:r>
      <w:r w:rsidRPr="00842CCD">
        <w:rPr>
          <w:rFonts w:cs="Arial"/>
          <w:szCs w:val="22"/>
        </w:rPr>
        <w:t>, mediante el cual se reglamentó el Decreto Ley 870 de 2017, que tiene como propósito incentivar a los usuarios del suelo a velar por la protección y conservación del mismo.</w:t>
      </w:r>
    </w:p>
    <w:p w:rsidR="00E412E3" w:rsidRDefault="00E412E3" w:rsidP="00446ECB">
      <w:pPr>
        <w:pStyle w:val="Prrafodelista"/>
        <w:numPr>
          <w:ilvl w:val="0"/>
          <w:numId w:val="13"/>
        </w:numPr>
        <w:ind w:left="426"/>
        <w:rPr>
          <w:rFonts w:cs="Arial"/>
          <w:szCs w:val="22"/>
        </w:rPr>
      </w:pPr>
      <w:r w:rsidRPr="00E412E3">
        <w:rPr>
          <w:rFonts w:cs="Arial"/>
          <w:b/>
          <w:szCs w:val="22"/>
        </w:rPr>
        <w:t xml:space="preserve">Resolución 261 de 2018, </w:t>
      </w:r>
      <w:r w:rsidRPr="00E412E3">
        <w:rPr>
          <w:rFonts w:cs="Arial"/>
          <w:szCs w:val="22"/>
        </w:rPr>
        <w:t>“Por medio de la cual se define la Frontera Agrícola Nacional y se adopta la metodología para la identificación general. Define la Frontera Agrícola Nacional como el límite del suelo rural que separan las áreas donde se desarrollan las actividades agropecuarias las áreas condicionadas y las áreas protegidas las de especial importancia ecológica y las demás áreas en las que las actividades agropecuarias están excluidas por mandato de la Ley”.</w:t>
      </w:r>
    </w:p>
    <w:p w:rsidR="00055D8F" w:rsidRDefault="00055D8F" w:rsidP="00446ECB">
      <w:pPr>
        <w:pStyle w:val="Prrafodelista"/>
        <w:numPr>
          <w:ilvl w:val="0"/>
          <w:numId w:val="13"/>
        </w:numPr>
        <w:ind w:left="426"/>
        <w:rPr>
          <w:rFonts w:cs="Arial"/>
          <w:szCs w:val="22"/>
        </w:rPr>
      </w:pPr>
      <w:r w:rsidRPr="00055D8F">
        <w:rPr>
          <w:rFonts w:cs="Arial"/>
          <w:b/>
          <w:szCs w:val="22"/>
        </w:rPr>
        <w:t>Decreto 2245 de 2017. "</w:t>
      </w:r>
      <w:r w:rsidRPr="00055D8F">
        <w:rPr>
          <w:rFonts w:cs="Arial"/>
          <w:szCs w:val="22"/>
        </w:rPr>
        <w:t>Por el cual se reglamenta el artículo 206 de la Ley 1450 de 2011 y se adiciona una sección al Decreto 1076 de 2015, Decreto Único Reglamentario del Sector Ambiente y Desarrollo Sostenible, en lo relacionado con el acotamiento de rondas hídricas". El decreto tiene por objeto establecer los criterios técnicos con base en los cuales las Autoridades Ambientales competentes realizarán los estudios para el acotamiento de las rondas hídricas en el área de su jurisdicción. La ronda hídrica se constituye en una norma de superior jerarquía y determinante ambiental.</w:t>
      </w:r>
    </w:p>
    <w:p w:rsidR="005A584A" w:rsidRPr="00055D8F" w:rsidRDefault="005A584A" w:rsidP="00446ECB">
      <w:pPr>
        <w:pStyle w:val="Prrafodelista"/>
        <w:numPr>
          <w:ilvl w:val="0"/>
          <w:numId w:val="13"/>
        </w:numPr>
        <w:ind w:left="426"/>
        <w:rPr>
          <w:rFonts w:cs="Arial"/>
          <w:szCs w:val="22"/>
        </w:rPr>
      </w:pPr>
      <w:r w:rsidRPr="00E42203">
        <w:rPr>
          <w:rFonts w:cs="Arial"/>
          <w:b/>
          <w:szCs w:val="22"/>
        </w:rPr>
        <w:t xml:space="preserve">Decreto </w:t>
      </w:r>
      <w:r>
        <w:rPr>
          <w:rFonts w:cs="Arial"/>
          <w:b/>
          <w:szCs w:val="22"/>
        </w:rPr>
        <w:t>1257 de</w:t>
      </w:r>
      <w:r w:rsidRPr="00E42203">
        <w:rPr>
          <w:rFonts w:cs="Arial"/>
          <w:b/>
          <w:szCs w:val="22"/>
        </w:rPr>
        <w:t xml:space="preserve"> 2017</w:t>
      </w:r>
      <w:r>
        <w:rPr>
          <w:rFonts w:cs="Arial"/>
          <w:b/>
          <w:szCs w:val="22"/>
        </w:rPr>
        <w:t xml:space="preserve">. </w:t>
      </w:r>
      <w:r w:rsidRPr="002B3BD1">
        <w:rPr>
          <w:rFonts w:cs="Arial"/>
          <w:szCs w:val="22"/>
        </w:rPr>
        <w:t>“Por el cual se crea la Comisión Intersectorial para el Control de la Deforestación y la Gestión Integral para la Protección de Bosques Naturales y se toman otras determinaciones”. Se crea la Comisión Intersectorial para el Control de la Deforestación y la Gestión Integral para la Protección de Bosques Naturales cuyo objeto será orientar y coordinar las políticas públicas, planes, programas, actividades y los proyectos estratégicos que dentro del ámbito de sus competencias, deben llevar a cabo las entidades para el control a la deforestación y la gestión de bosques naturales en el país.</w:t>
      </w:r>
    </w:p>
    <w:p w:rsidR="00055D8F" w:rsidRPr="00055D8F" w:rsidRDefault="00055D8F" w:rsidP="00055D8F">
      <w:pPr>
        <w:rPr>
          <w:rFonts w:cs="Arial"/>
          <w:szCs w:val="22"/>
        </w:rPr>
      </w:pPr>
    </w:p>
    <w:p w:rsidR="003162BA" w:rsidRPr="003162BA" w:rsidRDefault="003162BA" w:rsidP="000547CB">
      <w:pPr>
        <w:contextualSpacing/>
        <w:rPr>
          <w:b/>
          <w:szCs w:val="22"/>
          <w:lang w:val="es-CO"/>
        </w:rPr>
      </w:pPr>
      <w:r w:rsidRPr="003162BA">
        <w:rPr>
          <w:b/>
          <w:szCs w:val="22"/>
          <w:lang w:val="es-CO"/>
        </w:rPr>
        <w:lastRenderedPageBreak/>
        <w:t>1</w:t>
      </w:r>
      <w:r w:rsidR="00E75467">
        <w:rPr>
          <w:b/>
          <w:szCs w:val="22"/>
          <w:lang w:val="es-CO"/>
        </w:rPr>
        <w:t>3</w:t>
      </w:r>
      <w:r w:rsidRPr="003162BA">
        <w:rPr>
          <w:b/>
          <w:szCs w:val="22"/>
          <w:lang w:val="es-CO"/>
        </w:rPr>
        <w:t>.2.2 Políticas conexas con la administración y el aprovechamiento de los bosques</w:t>
      </w:r>
    </w:p>
    <w:p w:rsidR="003162BA" w:rsidRPr="003162BA" w:rsidRDefault="003162BA" w:rsidP="000547CB">
      <w:pPr>
        <w:contextualSpacing/>
        <w:rPr>
          <w:szCs w:val="22"/>
          <w:lang w:val="es-CO"/>
        </w:rPr>
      </w:pPr>
      <w:r w:rsidRPr="003162BA">
        <w:rPr>
          <w:szCs w:val="22"/>
          <w:lang w:val="es-CO"/>
        </w:rPr>
        <w:t xml:space="preserve">En este acápite se hace una mención de algunas políticas y lineamientos de política ambiental que tienen de manera indirecta alguna relación con la ordenación, el manejo y el aprovechamiento forestal integral y sostenible. </w:t>
      </w:r>
    </w:p>
    <w:p w:rsidR="003162BA" w:rsidRPr="003162BA" w:rsidRDefault="003162BA" w:rsidP="00446ECB">
      <w:pPr>
        <w:widowControl w:val="0"/>
        <w:numPr>
          <w:ilvl w:val="0"/>
          <w:numId w:val="11"/>
        </w:numPr>
        <w:ind w:left="426" w:hanging="426"/>
        <w:contextualSpacing/>
        <w:rPr>
          <w:b/>
          <w:szCs w:val="22"/>
          <w:lang w:val="es-CO"/>
        </w:rPr>
      </w:pPr>
      <w:r w:rsidRPr="003162BA">
        <w:rPr>
          <w:b/>
          <w:szCs w:val="22"/>
          <w:lang w:val="es-CO"/>
        </w:rPr>
        <w:t xml:space="preserve">Política Nacional para la Gestión Integral del Recurso Hídrico. 2010 </w:t>
      </w:r>
    </w:p>
    <w:p w:rsidR="003162BA" w:rsidRPr="003162BA" w:rsidRDefault="003162BA" w:rsidP="000547CB">
      <w:pPr>
        <w:contextualSpacing/>
        <w:rPr>
          <w:szCs w:val="22"/>
          <w:lang w:val="es-CO"/>
        </w:rPr>
      </w:pPr>
      <w:r w:rsidRPr="003162BA">
        <w:rPr>
          <w:szCs w:val="22"/>
          <w:lang w:val="es-CO"/>
        </w:rPr>
        <w:t>La Política tiene un horizonte a 12 años y se implementará a través de un plan de acción denominado Plan Hídrico Nacional, en el que se desarrollarán cada una de sus líneas de acción estratégicas, definiendo programas y proyectos específicos a implementar en el corto (2014) y en el mediano (2018) y largo plazo (2022), el que contará con metas específicas, responsables y presupuesto.</w:t>
      </w:r>
      <w:r w:rsidR="007B1CC8">
        <w:rPr>
          <w:szCs w:val="22"/>
          <w:lang w:val="es-CO"/>
        </w:rPr>
        <w:t xml:space="preserve"> </w:t>
      </w:r>
      <w:r w:rsidRPr="003162BA">
        <w:rPr>
          <w:szCs w:val="22"/>
          <w:lang w:val="es-CO"/>
        </w:rPr>
        <w:t>Asimismo, para ayudar a la implementación de la Política y en cumplimiento de lo dispuesto en el Plan Nacional de Desarrollo 2006-2010 se expediría un documento CONPES de Política para la Gestión Integral del Recurso Hídrico que tendrá un enfoque sectorial, en consideración al valor estratégico que tiene el agua para el desarrollo de las actividades económicas del país.</w:t>
      </w:r>
    </w:p>
    <w:p w:rsidR="003162BA" w:rsidRPr="003162BA" w:rsidRDefault="003162BA" w:rsidP="000547CB">
      <w:pPr>
        <w:contextualSpacing/>
        <w:rPr>
          <w:szCs w:val="22"/>
          <w:lang w:val="es-CO"/>
        </w:rPr>
      </w:pPr>
      <w:r w:rsidRPr="003162BA">
        <w:rPr>
          <w:szCs w:val="22"/>
          <w:lang w:val="es-CO"/>
        </w:rPr>
        <w:t>Esta Política plantea que: “La gestión que se realiza sobre el recurso hídrico se puede dividir en cuatro grandes grupos: planificación, administración, seguimiento y monitoreo, y manejo de conflictos relacionados con el agua”.</w:t>
      </w:r>
      <w:r w:rsidR="007B1CC8">
        <w:rPr>
          <w:szCs w:val="22"/>
          <w:lang w:val="es-CO"/>
        </w:rPr>
        <w:t xml:space="preserve"> </w:t>
      </w:r>
      <w:r w:rsidRPr="003162BA">
        <w:rPr>
          <w:szCs w:val="22"/>
          <w:lang w:val="es-CO"/>
        </w:rPr>
        <w:t>Y sobre el grupo de planificación, dice que “La normativa vigente establece a las autoridades ambientales la obligación de elaborar el plan de gestión ambiental regional (PGAR), el plan de acción (anteriormente plan de acción trienal PAT), los planes de ordenación y manejo de cuencas hidrográficas (POMCA), planes de ordenamiento del recurso hídrico (PORH), el plan de ordenación forestal (</w:t>
      </w:r>
      <w:r w:rsidR="00C70930">
        <w:rPr>
          <w:szCs w:val="22"/>
          <w:lang w:val="es-CO"/>
        </w:rPr>
        <w:t>PGOF</w:t>
      </w:r>
      <w:r w:rsidRPr="003162BA">
        <w:rPr>
          <w:szCs w:val="22"/>
          <w:lang w:val="es-CO"/>
        </w:rPr>
        <w:t>), así como, planes de manejo (PM) de los ecosistemas más importantes en su jurisdicción (humedales, páramos, manglares, entre otros); además, deben asesorar y concertar los planes de ordenamiento territorial (POT) y los planes de saneamiento y manejo de vertimientos (PSMV); todos estos instrumentos de planeación están relacionados en mayor o menor medida con el recurso hídrico”.</w:t>
      </w:r>
    </w:p>
    <w:p w:rsidR="003162BA" w:rsidRPr="003162BA" w:rsidRDefault="003162BA" w:rsidP="000547CB">
      <w:pPr>
        <w:contextualSpacing/>
        <w:rPr>
          <w:szCs w:val="22"/>
          <w:lang w:val="es-CO"/>
        </w:rPr>
      </w:pPr>
      <w:r w:rsidRPr="003162BA">
        <w:rPr>
          <w:szCs w:val="22"/>
          <w:lang w:val="es-CO"/>
        </w:rPr>
        <w:t>Lo anterior significa que la ordenación y el manejo forestal están supeditados a las acciones de las autoridades ambientales en cuanto a la formulación e implementación de los instrumentos que desarrollen la Política Nacional para la Gestión Integral del Recurso Hídrico.</w:t>
      </w:r>
    </w:p>
    <w:p w:rsidR="003162BA" w:rsidRPr="003162BA" w:rsidRDefault="003162BA" w:rsidP="00446ECB">
      <w:pPr>
        <w:widowControl w:val="0"/>
        <w:numPr>
          <w:ilvl w:val="0"/>
          <w:numId w:val="11"/>
        </w:numPr>
        <w:ind w:left="426" w:hanging="426"/>
        <w:contextualSpacing/>
        <w:rPr>
          <w:b/>
          <w:szCs w:val="22"/>
          <w:lang w:val="es-CO"/>
        </w:rPr>
      </w:pPr>
      <w:r w:rsidRPr="003162BA">
        <w:rPr>
          <w:b/>
          <w:szCs w:val="22"/>
          <w:lang w:val="es-CO"/>
        </w:rPr>
        <w:t>Lineamientos para la Política Nacional de Ordenamiento Ambiental del Territorio. 1998</w:t>
      </w:r>
    </w:p>
    <w:p w:rsidR="003162BA" w:rsidRPr="003162BA" w:rsidRDefault="003162BA" w:rsidP="000547CB">
      <w:pPr>
        <w:contextualSpacing/>
        <w:rPr>
          <w:szCs w:val="22"/>
          <w:lang w:val="es-CO"/>
        </w:rPr>
      </w:pPr>
      <w:r w:rsidRPr="003162BA">
        <w:rPr>
          <w:szCs w:val="22"/>
          <w:lang w:val="es-CO"/>
        </w:rPr>
        <w:t>La Ley 99 de 1993 define el Ordenamiento Ambiental Territorial (OAT) como “La función atribuida al Estado de regular y orientar el proceso de diseño y planificación de uso del territorio y de los recursos naturales renovables de la nación, a fin de garantizar su adecuada explotación y desarrollo sostenible” (Titulo II, Artículo 7). El OAT se entiende entonces como un conjunto de acciones estructuradas alrededor de las funciones ambientales específicas que cumple cada unidad del territorio, con el propósito de lograr que tales funciones estén en concordancia con la potencialidad natural de cada unidad, dentro de contextos locales, regionales y nacionales.</w:t>
      </w:r>
    </w:p>
    <w:p w:rsidR="003162BA" w:rsidRPr="003162BA" w:rsidRDefault="003162BA" w:rsidP="000547CB">
      <w:pPr>
        <w:contextualSpacing/>
        <w:rPr>
          <w:szCs w:val="22"/>
          <w:lang w:val="es-CO"/>
        </w:rPr>
      </w:pPr>
      <w:r w:rsidRPr="003162BA">
        <w:rPr>
          <w:szCs w:val="22"/>
          <w:lang w:val="es-CO"/>
        </w:rPr>
        <w:t>Es así como el OAT, es un proceso planificado de naturaleza política, técnica y administrativa, cuyo objetivo último es el de organizar y reorganizar el territorio, armonizando y optimizando la ocupación del mismo, consolidando un desarrollo ecológicamente sustentable, espacialmente equilibrado y socialmente justo.</w:t>
      </w:r>
    </w:p>
    <w:p w:rsidR="003162BA" w:rsidRPr="003162BA" w:rsidRDefault="003162BA" w:rsidP="000547CB">
      <w:pPr>
        <w:contextualSpacing/>
        <w:rPr>
          <w:szCs w:val="22"/>
          <w:lang w:val="es-CO"/>
        </w:rPr>
      </w:pPr>
      <w:r w:rsidRPr="003162BA">
        <w:rPr>
          <w:szCs w:val="22"/>
          <w:lang w:val="es-CO"/>
        </w:rPr>
        <w:t>Según los Lineamientos para la Política Nacional de Ordenamiento Ambiental del Territorio (1998), los objetivos del OAT son:</w:t>
      </w:r>
    </w:p>
    <w:p w:rsidR="003162BA" w:rsidRPr="003162BA" w:rsidRDefault="003162BA" w:rsidP="000547CB">
      <w:pPr>
        <w:ind w:left="426" w:hanging="426"/>
        <w:contextualSpacing/>
        <w:rPr>
          <w:szCs w:val="22"/>
          <w:lang w:val="es-CO"/>
        </w:rPr>
      </w:pPr>
      <w:r w:rsidRPr="003162BA">
        <w:rPr>
          <w:szCs w:val="22"/>
          <w:lang w:val="es-CO"/>
        </w:rPr>
        <w:t xml:space="preserve">1. </w:t>
      </w:r>
      <w:r w:rsidRPr="003162BA">
        <w:rPr>
          <w:szCs w:val="22"/>
          <w:lang w:val="es-CO"/>
        </w:rPr>
        <w:tab/>
        <w:t>Disminuir los procesos de migración y ocupación insostenible hacia áreas de alto valor ecosistémico y cultural</w:t>
      </w:r>
    </w:p>
    <w:p w:rsidR="003162BA" w:rsidRPr="003162BA" w:rsidRDefault="003162BA" w:rsidP="000547CB">
      <w:pPr>
        <w:ind w:left="426" w:hanging="426"/>
        <w:contextualSpacing/>
        <w:rPr>
          <w:szCs w:val="22"/>
          <w:lang w:val="es-CO"/>
        </w:rPr>
      </w:pPr>
      <w:r w:rsidRPr="003162BA">
        <w:rPr>
          <w:szCs w:val="22"/>
          <w:lang w:val="es-CO"/>
        </w:rPr>
        <w:t xml:space="preserve">2. </w:t>
      </w:r>
      <w:r w:rsidRPr="003162BA">
        <w:rPr>
          <w:szCs w:val="22"/>
          <w:lang w:val="es-CO"/>
        </w:rPr>
        <w:tab/>
        <w:t>Identificar, promover y establecer usos sostenibles del territorio y los recursos naturales, en áreas rurales transformadas</w:t>
      </w:r>
    </w:p>
    <w:p w:rsidR="003162BA" w:rsidRPr="003162BA" w:rsidRDefault="003162BA" w:rsidP="000547CB">
      <w:pPr>
        <w:ind w:left="426" w:hanging="426"/>
        <w:contextualSpacing/>
        <w:rPr>
          <w:szCs w:val="22"/>
          <w:lang w:val="es-CO"/>
        </w:rPr>
      </w:pPr>
      <w:r w:rsidRPr="003162BA">
        <w:rPr>
          <w:szCs w:val="22"/>
          <w:lang w:val="es-CO"/>
        </w:rPr>
        <w:t xml:space="preserve">3. </w:t>
      </w:r>
      <w:r w:rsidRPr="003162BA">
        <w:rPr>
          <w:szCs w:val="22"/>
          <w:lang w:val="es-CO"/>
        </w:rPr>
        <w:tab/>
        <w:t>Promover procesos de crecimiento y desarrollo sostenible en el sistema de asentamientos humanos del país, para mejorar la calidad de vida de la población, disminuyendo los impactos negativos generados a escala nacional, regional y local en el territorio</w:t>
      </w:r>
    </w:p>
    <w:p w:rsidR="003162BA" w:rsidRPr="003162BA" w:rsidRDefault="003162BA" w:rsidP="000547CB">
      <w:pPr>
        <w:ind w:left="426" w:hanging="426"/>
        <w:contextualSpacing/>
        <w:rPr>
          <w:szCs w:val="22"/>
          <w:lang w:val="es-CO"/>
        </w:rPr>
      </w:pPr>
      <w:r w:rsidRPr="003162BA">
        <w:rPr>
          <w:szCs w:val="22"/>
          <w:lang w:val="es-CO"/>
        </w:rPr>
        <w:t xml:space="preserve">4. </w:t>
      </w:r>
      <w:r w:rsidRPr="003162BA">
        <w:rPr>
          <w:szCs w:val="22"/>
          <w:lang w:val="es-CO"/>
        </w:rPr>
        <w:tab/>
        <w:t>Promover la recuperación, mantenimiento y uso sostenible de la oferta hídrica, como factor fundamental en la orientación del proceso de ocupación y uso del territorio</w:t>
      </w:r>
    </w:p>
    <w:p w:rsidR="003162BA" w:rsidRPr="003162BA" w:rsidRDefault="003162BA" w:rsidP="002738F1">
      <w:pPr>
        <w:rPr>
          <w:lang w:val="es-CO"/>
        </w:rPr>
      </w:pPr>
      <w:r w:rsidRPr="003162BA">
        <w:rPr>
          <w:lang w:val="es-CO"/>
        </w:rPr>
        <w:t xml:space="preserve">El territorio, expresado en su significado más amplio, encierra todos aquellos elementos que de una forma dinámica, envuelven el sistema ciudad; la estructura ecológica, los sistemas urbano y rural y los procesos culturales. Todos ellos confluyen en el territorio, de manera que dada dicha complejidad, el territorio es ambiente, es entorno y es en esta instancia, en la que el Ordenamiento Ambiental, se convierte en el instrumento más indicado para la planificación del desarrollo territorial. Cada unidad territorial, tiene unas características físicas y </w:t>
      </w:r>
      <w:r w:rsidRPr="003162BA">
        <w:rPr>
          <w:lang w:val="es-CO"/>
        </w:rPr>
        <w:lastRenderedPageBreak/>
        <w:t xml:space="preserve">culturales definidas, que se convierten así, en la directriz a seguir para poder ordenarla. Es por ello, que el ordenamiento de una unidad territorial se puede realizar desde varias perspectivas, como por ejemplo desde el ordenamiento forestal o de macro ecosistemas, que permiten un abordaje sistémico de los atributos más representativos de la configuración, ocupación y consumo de un espacio territorial. </w:t>
      </w:r>
    </w:p>
    <w:p w:rsidR="003162BA" w:rsidRPr="003162BA" w:rsidRDefault="003162BA" w:rsidP="002738F1">
      <w:pPr>
        <w:rPr>
          <w:lang w:val="es-CO"/>
        </w:rPr>
      </w:pPr>
      <w:r w:rsidRPr="003162BA">
        <w:rPr>
          <w:lang w:val="es-CO"/>
        </w:rPr>
        <w:t>Es decir, que esta Política contempla a la ordenación y el manejo forestal como elementos integrantes de las perspectivas del ordenamiento ambiental del territorio. Pero, sin embargo, no establece directrices ni pautas sobre cómo proceder en tal sentido.</w:t>
      </w:r>
    </w:p>
    <w:p w:rsidR="003162BA" w:rsidRPr="003162BA" w:rsidRDefault="003162BA" w:rsidP="002738F1">
      <w:pPr>
        <w:rPr>
          <w:lang w:val="es-CO"/>
        </w:rPr>
      </w:pPr>
      <w:r w:rsidRPr="003162BA">
        <w:rPr>
          <w:lang w:val="es-CO"/>
        </w:rPr>
        <w:t>Sin embargo, años después de su oficialización, varios de los lineamientos de esta política fueron retomados en la construcción y reglamentación de la Ley 388 de 1997 (genéricamente conocida como la ley de ordenamiento territorial).</w:t>
      </w:r>
    </w:p>
    <w:p w:rsidR="003162BA" w:rsidRPr="003162BA" w:rsidRDefault="003162BA" w:rsidP="00446ECB">
      <w:pPr>
        <w:widowControl w:val="0"/>
        <w:numPr>
          <w:ilvl w:val="0"/>
          <w:numId w:val="11"/>
        </w:numPr>
        <w:ind w:left="426" w:hanging="426"/>
        <w:contextualSpacing/>
        <w:rPr>
          <w:b/>
          <w:szCs w:val="22"/>
          <w:lang w:val="es-CO"/>
        </w:rPr>
      </w:pPr>
      <w:r w:rsidRPr="003162BA">
        <w:rPr>
          <w:b/>
          <w:szCs w:val="22"/>
          <w:lang w:val="es-CO"/>
        </w:rPr>
        <w:t xml:space="preserve">Ley 1523 de 2012: “Por la cual se adopta la política nacional de gestión del riesgo de desastres y se establece el Sistema Nacional de Gestión del Riesgo de Desastres y se dictan otras disposiciones”. </w:t>
      </w:r>
    </w:p>
    <w:p w:rsidR="003162BA" w:rsidRPr="003162BA" w:rsidRDefault="003162BA" w:rsidP="000547CB">
      <w:pPr>
        <w:contextualSpacing/>
        <w:rPr>
          <w:szCs w:val="22"/>
          <w:lang w:val="es-CO"/>
        </w:rPr>
      </w:pPr>
      <w:r w:rsidRPr="003162BA">
        <w:rPr>
          <w:szCs w:val="22"/>
          <w:lang w:val="es-CO"/>
        </w:rPr>
        <w:t>Esta Ley en su ARTÍCULO</w:t>
      </w:r>
      <w:r w:rsidR="007B1CC8">
        <w:rPr>
          <w:szCs w:val="22"/>
          <w:lang w:val="es-CO"/>
        </w:rPr>
        <w:t xml:space="preserve"> </w:t>
      </w:r>
      <w:r w:rsidRPr="003162BA">
        <w:rPr>
          <w:szCs w:val="22"/>
          <w:lang w:val="es-CO"/>
        </w:rPr>
        <w:t>1°. De la gestión del riesgo de desastres, establece que “La gestión del riesgo de desastres, en adelante la gestión del riesgo, es un proceso social orientado a la formulación, ejecución, seguimiento y evaluación de políticas, estrategias, planes, programas, regulaciones, instrumentos, medidas y acciones permanentes para el conocimiento y la reducción del riesgo y para el manejo de desastres, con el propósito explícito de contribuir a la seguridad, el bienestar, la calidad de vida de las personas y al desarrollo sostenible.”</w:t>
      </w:r>
    </w:p>
    <w:p w:rsidR="003162BA" w:rsidRPr="003162BA" w:rsidRDefault="003162BA" w:rsidP="000547CB">
      <w:pPr>
        <w:contextualSpacing/>
        <w:rPr>
          <w:szCs w:val="22"/>
          <w:lang w:val="es-CO"/>
        </w:rPr>
      </w:pPr>
      <w:r w:rsidRPr="003162BA">
        <w:rPr>
          <w:szCs w:val="22"/>
          <w:lang w:val="es-CO"/>
        </w:rPr>
        <w:t>Posteriormente, en el ARTÍCULO</w:t>
      </w:r>
      <w:r w:rsidR="007B1CC8">
        <w:rPr>
          <w:szCs w:val="22"/>
          <w:lang w:val="es-CO"/>
        </w:rPr>
        <w:t xml:space="preserve"> </w:t>
      </w:r>
      <w:r w:rsidRPr="003162BA">
        <w:rPr>
          <w:szCs w:val="22"/>
          <w:lang w:val="es-CO"/>
        </w:rPr>
        <w:t>3°. Principios generales, dice que “Los principios generales que orientan la gestión del riesgo son:...9. Principio de sostenibilidad ambiental: El desarrollo es sostenible cuando satisface las necesidades del presente sin comprometer la capacidad de los sistemas ambientales de satisfacer las necesidades futuras e implica tener en cuenta la dimensión económica, social y ambiental del desarrollo. El riesgo de desastre se deriva de procesos de uso y ocupación insostenible del territorio, por tanto, la explotación racional de los recursos naturales y la protección del medio ambiente constituyen características irreductibles de sostenibilidad ambiental y contribuyen a la gestión del riesgo de desastres.</w:t>
      </w:r>
    </w:p>
    <w:p w:rsidR="003162BA" w:rsidRDefault="003162BA" w:rsidP="000547CB">
      <w:pPr>
        <w:contextualSpacing/>
        <w:rPr>
          <w:szCs w:val="22"/>
          <w:lang w:val="es-CO"/>
        </w:rPr>
      </w:pPr>
      <w:r w:rsidRPr="003162BA">
        <w:rPr>
          <w:szCs w:val="22"/>
          <w:lang w:val="es-CO"/>
        </w:rPr>
        <w:t>Con base en lo anterior, se infiere que el manejo forestal sostenible se constituiría en una herramienta para lograr la explotación racional de los recursos naturales y la protección del medio ambiente y, en consecuencia, estaría apoyando a la prevención del riesgo de</w:t>
      </w:r>
      <w:r w:rsidR="007B1CC8">
        <w:rPr>
          <w:szCs w:val="22"/>
          <w:lang w:val="es-CO"/>
        </w:rPr>
        <w:t xml:space="preserve"> </w:t>
      </w:r>
      <w:r w:rsidRPr="003162BA">
        <w:rPr>
          <w:szCs w:val="22"/>
          <w:lang w:val="es-CO"/>
        </w:rPr>
        <w:t>desastres naturales.</w:t>
      </w:r>
    </w:p>
    <w:p w:rsidR="00CD09BB" w:rsidRPr="00CD09BB" w:rsidRDefault="00CD09BB" w:rsidP="00446ECB">
      <w:pPr>
        <w:pStyle w:val="Prrafodelista"/>
        <w:numPr>
          <w:ilvl w:val="0"/>
          <w:numId w:val="13"/>
        </w:numPr>
        <w:rPr>
          <w:b/>
          <w:szCs w:val="22"/>
          <w:lang w:val="es-CO"/>
        </w:rPr>
      </w:pPr>
      <w:r w:rsidRPr="00CD09BB">
        <w:rPr>
          <w:b/>
          <w:szCs w:val="22"/>
          <w:lang w:val="es-CO"/>
        </w:rPr>
        <w:t>Conpes 3700.</w:t>
      </w:r>
      <w:r w:rsidRPr="00CD09BB">
        <w:rPr>
          <w:szCs w:val="22"/>
          <w:lang w:val="es-CO"/>
        </w:rPr>
        <w:t xml:space="preserve"> </w:t>
      </w:r>
      <w:r w:rsidRPr="00CD09BB">
        <w:rPr>
          <w:b/>
          <w:szCs w:val="22"/>
          <w:lang w:val="es-CO"/>
        </w:rPr>
        <w:t>Estrategia institucional para la articulación de políticas y acciones en materia de cambio climático en colombia.</w:t>
      </w:r>
      <w:r w:rsidR="007B1CC8">
        <w:rPr>
          <w:b/>
          <w:szCs w:val="22"/>
          <w:lang w:val="es-CO"/>
        </w:rPr>
        <w:t xml:space="preserve"> </w:t>
      </w:r>
    </w:p>
    <w:p w:rsidR="00D6541C" w:rsidRDefault="00CD09BB" w:rsidP="00CD09BB">
      <w:pPr>
        <w:pStyle w:val="Prrafodelista"/>
        <w:ind w:left="0"/>
        <w:rPr>
          <w:szCs w:val="22"/>
          <w:lang w:val="es-CO"/>
        </w:rPr>
      </w:pPr>
      <w:r>
        <w:rPr>
          <w:szCs w:val="22"/>
          <w:lang w:val="es-CO"/>
        </w:rPr>
        <w:t>L</w:t>
      </w:r>
      <w:r w:rsidRPr="00CD09BB">
        <w:rPr>
          <w:szCs w:val="22"/>
          <w:lang w:val="es-CO"/>
        </w:rPr>
        <w:t>a Estrategia Institucional para la Articulación de Políticas y Acciones en Materia de cambio climático en Colombia resalta la necesidad del país de comprender y actuar frente a este fenómeno como una problemática de desarrollo económico y social. En ese sentido, busca generar espacios para que los sectores y los territorios integren dicha problemática dentro de sus procesos de planificación, articular a todos los actores para hacer un uso adecuado de los recursos, disminuir la exposición y sensibilidad al riesgo, aumentar la capacidad de respuesta y preparar al país para que se encamine hacia la senda del desarrollo sostenible, generando competitividad y eficiencia. La estrategia reconoce la necesidad urgente de emprender medidas adecuadas de adaptación y mitigación y establece el marco dentro del cual se generarán.</w:t>
      </w:r>
      <w:bookmarkEnd w:id="34"/>
    </w:p>
    <w:p w:rsidR="0004335F" w:rsidRPr="0004335F" w:rsidRDefault="0004335F" w:rsidP="0004335F">
      <w:pPr>
        <w:pStyle w:val="Prrafodelista"/>
        <w:numPr>
          <w:ilvl w:val="0"/>
          <w:numId w:val="13"/>
        </w:numPr>
        <w:rPr>
          <w:b/>
          <w:szCs w:val="22"/>
          <w:lang w:val="es-CO"/>
        </w:rPr>
      </w:pPr>
      <w:r w:rsidRPr="0004335F">
        <w:rPr>
          <w:b/>
        </w:rPr>
        <w:t>Plan Nacional de Desarrollo 2018-2022 “Pacto por Colombia, pacto por la equidad”</w:t>
      </w:r>
    </w:p>
    <w:p w:rsidR="0004335F" w:rsidRDefault="0004335F" w:rsidP="0004335F">
      <w:r>
        <w:t>S</w:t>
      </w:r>
      <w:r>
        <w:t>e expide por medio de la presente ley, tiene como objetivo sentar las bases de legalidad, emprendimiento y equidad que permitan lograr la igualdad de oportunidades para todos los colombianos, en concordancia con un proyecto de largo plazo con el que Colombia alcance los Objetivos de Desarrollo Sostenible al 2030.</w:t>
      </w:r>
    </w:p>
    <w:p w:rsidR="0004335F" w:rsidRDefault="0004335F" w:rsidP="0004335F">
      <w:r>
        <w:t>El Plan Nacional de Desarrollo está compuesto por objetivos de política pública denominados pactos, concepto que refleja la importancia del aporte de todas las facetas de la sociedad en la construcción de una Colombia equitativa. E l Plan se basa en los siguie</w:t>
      </w:r>
      <w:r>
        <w:t>ntes tres pactos estructurales:</w:t>
      </w:r>
    </w:p>
    <w:p w:rsidR="0004335F" w:rsidRDefault="0004335F" w:rsidP="0004335F">
      <w:r w:rsidRPr="0004335F">
        <w:rPr>
          <w:b/>
        </w:rPr>
        <w:t>1. Legalidad</w:t>
      </w:r>
      <w:r>
        <w:t>. El Plan establece las bases para la protección de las libertades individuales y de los bienes públicos, para el imperio de la Ley y la garantía de los derechos humanos, y para una lucha certera contra la corrupción.</w:t>
      </w:r>
    </w:p>
    <w:p w:rsidR="0004335F" w:rsidRDefault="0004335F" w:rsidP="0004335F">
      <w:r w:rsidRPr="0004335F">
        <w:rPr>
          <w:b/>
        </w:rPr>
        <w:lastRenderedPageBreak/>
        <w:t>2. Emprendimiento</w:t>
      </w:r>
      <w:r>
        <w:t>. Sobre el sustento de la legalidad, el Plan plantea expandir las oportunidades de los colombianos a través del estímulo al emprendimiento, la formalización del trabajo y las actividades económicas, y el fortalecimiento del tejido empresarial en las ciudades y en el campo</w:t>
      </w:r>
      <w:r>
        <w:t>.</w:t>
      </w:r>
    </w:p>
    <w:p w:rsidR="0004335F" w:rsidRPr="0004335F" w:rsidRDefault="0004335F" w:rsidP="0004335F">
      <w:pPr>
        <w:rPr>
          <w:b/>
          <w:szCs w:val="22"/>
          <w:lang w:val="es-CO"/>
        </w:rPr>
      </w:pPr>
      <w:r w:rsidRPr="0004335F">
        <w:rPr>
          <w:b/>
        </w:rPr>
        <w:t>3. Equidad</w:t>
      </w:r>
      <w:r>
        <w:t>. Como resultado final, el Plan busca la igualdad de oportunidades para todos, por medio de una política social moderna orientada a lograr la inclusión social y la inclusión productiva de los colombianos, y que se centra en las familias como los principales vehículos para la construcción de lazos de solidaridad y de tejido social.</w:t>
      </w:r>
    </w:p>
    <w:sectPr w:rsidR="0004335F" w:rsidRPr="0004335F" w:rsidSect="009B6355">
      <w:footerReference w:type="default" r:id="rId16"/>
      <w:pgSz w:w="12242" w:h="15842"/>
      <w:pgMar w:top="1418" w:right="1418" w:bottom="1418" w:left="1418" w:header="720" w:footer="794" w:gutter="284"/>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36BB" w:rsidRDefault="009A36BB">
      <w:r>
        <w:separator/>
      </w:r>
    </w:p>
  </w:endnote>
  <w:endnote w:type="continuationSeparator" w:id="0">
    <w:p w:rsidR="009A36BB" w:rsidRDefault="009A3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00"/>
    <w:family w:val="swiss"/>
    <w:pitch w:val="variable"/>
    <w:sig w:usb0="00000287" w:usb1="00000800" w:usb2="00000000" w:usb3="00000000" w:csb0="0000009F" w:csb1="00000000"/>
    <w:embedRegular r:id="rId1" w:fontKey="{1503E11F-A90E-427A-8B34-23718F407D45}"/>
    <w:embedBold r:id="rId2" w:fontKey="{3A8988E6-D8A7-4032-A18C-E702C318A244}"/>
    <w:embedItalic r:id="rId3" w:fontKey="{65B99185-FCFE-49AE-BA05-6E23FEAA1375}"/>
    <w:embedBoldItalic r:id="rId4" w:fontKey="{FA0E226F-5208-43CA-A185-EDF0CF16E984}"/>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embedRegular r:id="rId5" w:fontKey="{33741F67-0429-40A1-A425-AB20D285BD64}"/>
    <w:embedBold r:id="rId6" w:fontKey="{98413BD9-26AD-4373-96B7-4D8DE84435A8}"/>
    <w:embedItalic r:id="rId7" w:fontKey="{F242E1E0-0857-427C-AB25-8E938078DF91}"/>
    <w:embedBoldItalic r:id="rId8" w:fontKey="{3AE2F75F-C536-4DB7-8B07-13EABCC0A711}"/>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Optima">
    <w:altName w:val="Bell MT"/>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charset w:val="86"/>
    <w:family w:val="auto"/>
    <w:pitch w:val="variable"/>
    <w:sig w:usb0="A00002BF" w:usb1="38CF7CFA" w:usb2="00000016" w:usb3="00000000" w:csb0="0004000F" w:csb1="00000000"/>
  </w:font>
  <w:font w:name="Gill Sans MT">
    <w:panose1 w:val="020B0502020104020203"/>
    <w:charset w:val="00"/>
    <w:family w:val="swiss"/>
    <w:pitch w:val="variable"/>
    <w:sig w:usb0="00000007" w:usb1="00000000" w:usb2="00000000" w:usb3="00000000" w:csb0="00000003" w:csb1="00000000"/>
  </w:font>
  <w:font w:name="+mn-ea">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A51" w:rsidRDefault="00DD6A51" w:rsidP="00ED6683">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DD6A51" w:rsidRDefault="00DD6A51">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7854235"/>
      <w:docPartObj>
        <w:docPartGallery w:val="Page Numbers (Bottom of Page)"/>
        <w:docPartUnique/>
      </w:docPartObj>
    </w:sdtPr>
    <w:sdtEndPr/>
    <w:sdtContent>
      <w:p w:rsidR="009B6355" w:rsidRDefault="009B6355">
        <w:pPr>
          <w:pStyle w:val="Piedepgina"/>
          <w:jc w:val="right"/>
        </w:pPr>
        <w:r>
          <w:fldChar w:fldCharType="begin"/>
        </w:r>
        <w:r>
          <w:instrText>PAGE   \* MERGEFORMAT</w:instrText>
        </w:r>
        <w:r>
          <w:fldChar w:fldCharType="separate"/>
        </w:r>
        <w:r w:rsidR="00F86D89" w:rsidRPr="00F86D89">
          <w:rPr>
            <w:noProof/>
            <w:lang w:val="es-ES"/>
          </w:rPr>
          <w:t>ii</w:t>
        </w:r>
        <w:r>
          <w:fldChar w:fldCharType="end"/>
        </w:r>
      </w:p>
    </w:sdtContent>
  </w:sdt>
  <w:p w:rsidR="00DD6A51" w:rsidRDefault="00DD6A51">
    <w:pPr>
      <w:pStyle w:val="Piedepgin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656065"/>
      <w:docPartObj>
        <w:docPartGallery w:val="Page Numbers (Bottom of Page)"/>
        <w:docPartUnique/>
      </w:docPartObj>
    </w:sdtPr>
    <w:sdtEndPr/>
    <w:sdtContent>
      <w:p w:rsidR="009B6355" w:rsidRDefault="009B6355">
        <w:pPr>
          <w:pStyle w:val="Piedepgina"/>
          <w:jc w:val="right"/>
        </w:pPr>
        <w:r>
          <w:fldChar w:fldCharType="begin"/>
        </w:r>
        <w:r>
          <w:instrText>PAGE   \* MERGEFORMAT</w:instrText>
        </w:r>
        <w:r>
          <w:fldChar w:fldCharType="separate"/>
        </w:r>
        <w:r w:rsidR="00641B2D" w:rsidRPr="00641B2D">
          <w:rPr>
            <w:noProof/>
            <w:lang w:val="es-ES"/>
          </w:rPr>
          <w:t>38</w:t>
        </w:r>
        <w:r>
          <w:fldChar w:fldCharType="end"/>
        </w:r>
      </w:p>
    </w:sdtContent>
  </w:sdt>
  <w:p w:rsidR="009B6355" w:rsidRDefault="009B6355">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36BB" w:rsidRDefault="009A36BB">
      <w:r>
        <w:separator/>
      </w:r>
    </w:p>
  </w:footnote>
  <w:footnote w:type="continuationSeparator" w:id="0">
    <w:p w:rsidR="009A36BB" w:rsidRDefault="009A36BB">
      <w:r>
        <w:continuationSeparator/>
      </w:r>
    </w:p>
  </w:footnote>
  <w:footnote w:id="1">
    <w:p w:rsidR="00DD6A51" w:rsidRPr="00EF1255" w:rsidRDefault="00DD6A51" w:rsidP="00E43F91">
      <w:pPr>
        <w:pStyle w:val="Textonotapie"/>
        <w:rPr>
          <w:sz w:val="18"/>
          <w:szCs w:val="18"/>
        </w:rPr>
      </w:pPr>
      <w:r w:rsidRPr="00EF1255">
        <w:rPr>
          <w:rStyle w:val="Refdenotaalpie"/>
          <w:sz w:val="18"/>
          <w:szCs w:val="18"/>
        </w:rPr>
        <w:footnoteRef/>
      </w:r>
      <w:r w:rsidRPr="00EF1255">
        <w:rPr>
          <w:sz w:val="18"/>
          <w:szCs w:val="18"/>
        </w:rPr>
        <w:t xml:space="preserve"> OIMT. 2005. Estado de la ordenación de los bosques tropicales 2005. Informe de Síntesis. 35 p.</w:t>
      </w:r>
    </w:p>
  </w:footnote>
  <w:footnote w:id="2">
    <w:p w:rsidR="00DD6A51" w:rsidRPr="00DC2565" w:rsidRDefault="00DD6A51" w:rsidP="002C11F9">
      <w:pPr>
        <w:pStyle w:val="Textonotapie"/>
        <w:ind w:left="284" w:hanging="284"/>
        <w:rPr>
          <w:sz w:val="18"/>
          <w:szCs w:val="18"/>
        </w:rPr>
      </w:pPr>
      <w:r w:rsidRPr="00DC2565">
        <w:rPr>
          <w:rStyle w:val="Refdenotaalpie"/>
          <w:sz w:val="18"/>
          <w:szCs w:val="18"/>
        </w:rPr>
        <w:footnoteRef/>
      </w:r>
      <w:r>
        <w:rPr>
          <w:sz w:val="18"/>
          <w:szCs w:val="18"/>
        </w:rPr>
        <w:t xml:space="preserve">  </w:t>
      </w:r>
      <w:r w:rsidRPr="00DC2565">
        <w:rPr>
          <w:sz w:val="18"/>
          <w:szCs w:val="18"/>
        </w:rPr>
        <w:t>Tomado de: Pandey, G. 2003.</w:t>
      </w:r>
      <w:r>
        <w:rPr>
          <w:sz w:val="18"/>
          <w:szCs w:val="18"/>
        </w:rPr>
        <w:t xml:space="preserve"> </w:t>
      </w:r>
      <w:r w:rsidRPr="00DC2565">
        <w:rPr>
          <w:sz w:val="18"/>
          <w:szCs w:val="18"/>
        </w:rPr>
        <w:t xml:space="preserve">La Ordenación Forestal y la Evolución de sus Paradigmas. Documento sometido al XII Congreso Forestal Mundial. Québec City Canadá. </w:t>
      </w:r>
    </w:p>
  </w:footnote>
  <w:footnote w:id="3">
    <w:p w:rsidR="00DD6A51" w:rsidRPr="00972C45" w:rsidRDefault="00DD6A51" w:rsidP="00E43F91">
      <w:pPr>
        <w:pStyle w:val="Textonotapie"/>
        <w:ind w:left="284" w:hanging="284"/>
        <w:rPr>
          <w:sz w:val="18"/>
          <w:szCs w:val="18"/>
        </w:rPr>
      </w:pPr>
      <w:r w:rsidRPr="00972C45">
        <w:rPr>
          <w:rStyle w:val="Refdenotaalpie"/>
          <w:sz w:val="18"/>
          <w:szCs w:val="18"/>
        </w:rPr>
        <w:footnoteRef/>
      </w:r>
      <w:r>
        <w:rPr>
          <w:sz w:val="18"/>
          <w:szCs w:val="18"/>
        </w:rPr>
        <w:t xml:space="preserve">  Editado </w:t>
      </w:r>
      <w:r w:rsidRPr="00972C45">
        <w:rPr>
          <w:sz w:val="18"/>
          <w:szCs w:val="18"/>
        </w:rPr>
        <w:t xml:space="preserve">con base en: </w:t>
      </w:r>
      <w:r>
        <w:rPr>
          <w:sz w:val="18"/>
          <w:szCs w:val="18"/>
        </w:rPr>
        <w:t>Linares, Ricardo. 2009. Revisión de las dos Guías sobre Ordenación Forestal desarrolladas por el MAVD:</w:t>
      </w:r>
      <w:r w:rsidRPr="00972C45">
        <w:rPr>
          <w:sz w:val="18"/>
          <w:szCs w:val="18"/>
        </w:rPr>
        <w:t xml:space="preserve"> </w:t>
      </w:r>
      <w:r>
        <w:rPr>
          <w:sz w:val="18"/>
          <w:szCs w:val="18"/>
        </w:rPr>
        <w:t>OIMT</w:t>
      </w:r>
      <w:r w:rsidRPr="00972C45">
        <w:rPr>
          <w:sz w:val="18"/>
          <w:szCs w:val="18"/>
        </w:rPr>
        <w:t xml:space="preserve"> en el 2002 y CONIF en el 2007</w:t>
      </w:r>
      <w:r>
        <w:rPr>
          <w:sz w:val="18"/>
          <w:szCs w:val="18"/>
        </w:rPr>
        <w:t xml:space="preserve">. </w:t>
      </w:r>
      <w:r w:rsidRPr="00972C45">
        <w:rPr>
          <w:sz w:val="18"/>
          <w:szCs w:val="18"/>
        </w:rPr>
        <w:t>Tercer</w:t>
      </w:r>
      <w:r>
        <w:rPr>
          <w:sz w:val="18"/>
          <w:szCs w:val="18"/>
        </w:rPr>
        <w:t xml:space="preserve"> </w:t>
      </w:r>
      <w:r w:rsidRPr="00972C45">
        <w:rPr>
          <w:sz w:val="18"/>
          <w:szCs w:val="18"/>
        </w:rPr>
        <w:t>I</w:t>
      </w:r>
      <w:r>
        <w:rPr>
          <w:sz w:val="18"/>
          <w:szCs w:val="18"/>
        </w:rPr>
        <w:t>nforme; Agosto de 2009. Producto de la</w:t>
      </w:r>
      <w:r w:rsidRPr="00972C45">
        <w:t xml:space="preserve"> </w:t>
      </w:r>
      <w:r>
        <w:rPr>
          <w:sz w:val="18"/>
          <w:szCs w:val="18"/>
        </w:rPr>
        <w:t>Orden d</w:t>
      </w:r>
      <w:r w:rsidRPr="00972C45">
        <w:rPr>
          <w:sz w:val="18"/>
          <w:szCs w:val="18"/>
        </w:rPr>
        <w:t>e Servicios</w:t>
      </w:r>
      <w:r>
        <w:rPr>
          <w:sz w:val="18"/>
          <w:szCs w:val="18"/>
        </w:rPr>
        <w:t xml:space="preserve"> No. 589 de 20</w:t>
      </w:r>
      <w:r w:rsidRPr="00972C45">
        <w:rPr>
          <w:sz w:val="18"/>
          <w:szCs w:val="18"/>
        </w:rPr>
        <w:t>09</w:t>
      </w:r>
      <w:r>
        <w:rPr>
          <w:sz w:val="18"/>
          <w:szCs w:val="18"/>
        </w:rPr>
        <w:t xml:space="preserve">.  </w:t>
      </w:r>
    </w:p>
  </w:footnote>
  <w:footnote w:id="4">
    <w:p w:rsidR="00DD6A51" w:rsidRPr="00BA089A" w:rsidRDefault="00DD6A51" w:rsidP="002F3AA4">
      <w:pPr>
        <w:pStyle w:val="Textonotapie"/>
        <w:rPr>
          <w:sz w:val="18"/>
          <w:szCs w:val="18"/>
        </w:rPr>
      </w:pPr>
      <w:r w:rsidRPr="00BA089A">
        <w:rPr>
          <w:rStyle w:val="Refdenotaalpie"/>
          <w:sz w:val="18"/>
          <w:szCs w:val="18"/>
        </w:rPr>
        <w:footnoteRef/>
      </w:r>
      <w:r>
        <w:rPr>
          <w:sz w:val="18"/>
          <w:szCs w:val="18"/>
        </w:rPr>
        <w:t xml:space="preserve">    </w:t>
      </w:r>
      <w:r w:rsidRPr="00BA089A">
        <w:rPr>
          <w:sz w:val="18"/>
          <w:szCs w:val="18"/>
        </w:rPr>
        <w:t xml:space="preserve"> Plan Nacional de Desarrollo Forestal (PNDF). CONPES 2135 de 2001</w:t>
      </w:r>
    </w:p>
  </w:footnote>
  <w:footnote w:id="5">
    <w:p w:rsidR="00DD6A51" w:rsidRPr="00BA089A" w:rsidRDefault="00DD6A51" w:rsidP="00DF6F3C">
      <w:pPr>
        <w:pStyle w:val="Textonotapie"/>
        <w:ind w:left="426" w:hanging="426"/>
        <w:rPr>
          <w:sz w:val="18"/>
          <w:szCs w:val="18"/>
        </w:rPr>
      </w:pPr>
      <w:r w:rsidRPr="00BA089A">
        <w:rPr>
          <w:rStyle w:val="Refdenotaalpie"/>
          <w:sz w:val="18"/>
          <w:szCs w:val="18"/>
        </w:rPr>
        <w:footnoteRef/>
      </w:r>
      <w:r>
        <w:rPr>
          <w:sz w:val="18"/>
          <w:szCs w:val="18"/>
        </w:rPr>
        <w:t xml:space="preserve">  </w:t>
      </w:r>
      <w:r w:rsidRPr="00BA089A">
        <w:rPr>
          <w:sz w:val="18"/>
          <w:szCs w:val="18"/>
        </w:rPr>
        <w:t xml:space="preserve"> El PGOF es aquel que abarca toda la extensión de jurisdicción de una Corporación Regional. En tanto que el </w:t>
      </w:r>
      <w:r>
        <w:rPr>
          <w:sz w:val="18"/>
          <w:szCs w:val="18"/>
        </w:rPr>
        <w:t>PGOF</w:t>
      </w:r>
      <w:r w:rsidRPr="00BA089A">
        <w:rPr>
          <w:sz w:val="18"/>
          <w:szCs w:val="18"/>
        </w:rPr>
        <w:t xml:space="preserve"> solo cubre una parte de la misma, por ejemplo una cuenca, un ecosistema, una subregión o un grupo de municipios.</w:t>
      </w:r>
    </w:p>
  </w:footnote>
  <w:footnote w:id="6">
    <w:p w:rsidR="00DD6A51" w:rsidRPr="002E2D57" w:rsidRDefault="00DD6A51" w:rsidP="002F3AA4">
      <w:pPr>
        <w:pStyle w:val="Textonotapie"/>
        <w:ind w:left="426" w:hanging="426"/>
        <w:rPr>
          <w:sz w:val="18"/>
          <w:szCs w:val="18"/>
        </w:rPr>
      </w:pPr>
      <w:r w:rsidRPr="00BA089A">
        <w:rPr>
          <w:rStyle w:val="Refdenotaalpie"/>
          <w:sz w:val="18"/>
          <w:szCs w:val="18"/>
        </w:rPr>
        <w:footnoteRef/>
      </w:r>
      <w:r>
        <w:rPr>
          <w:sz w:val="18"/>
          <w:szCs w:val="18"/>
        </w:rPr>
        <w:t xml:space="preserve">  </w:t>
      </w:r>
      <w:r w:rsidRPr="00BA089A">
        <w:rPr>
          <w:sz w:val="18"/>
          <w:szCs w:val="18"/>
        </w:rPr>
        <w:t>De los 21 (veintiún) PGOF ya formulados se exceptúa el de CORPOCHIVOR, que fue formulado bajo los line</w:t>
      </w:r>
      <w:r>
        <w:rPr>
          <w:sz w:val="18"/>
          <w:szCs w:val="18"/>
        </w:rPr>
        <w:t>a</w:t>
      </w:r>
      <w:r w:rsidRPr="00BA089A">
        <w:rPr>
          <w:sz w:val="18"/>
          <w:szCs w:val="18"/>
        </w:rPr>
        <w:t>mientos de la Ordenación Forestal Integral y Sostenible y no requeriría de actualización.</w:t>
      </w:r>
    </w:p>
  </w:footnote>
  <w:footnote w:id="7">
    <w:p w:rsidR="00DD6A51" w:rsidRDefault="00DD6A51" w:rsidP="00041794">
      <w:pPr>
        <w:pStyle w:val="Textonotapie"/>
        <w:ind w:left="426" w:hanging="426"/>
        <w:rPr>
          <w:sz w:val="18"/>
          <w:szCs w:val="18"/>
        </w:rPr>
      </w:pPr>
      <w:r w:rsidRPr="003A0138">
        <w:rPr>
          <w:rStyle w:val="Refdenotaalpie"/>
          <w:sz w:val="18"/>
          <w:szCs w:val="18"/>
        </w:rPr>
        <w:footnoteRef/>
      </w:r>
      <w:r w:rsidRPr="003A0138">
        <w:rPr>
          <w:sz w:val="18"/>
          <w:szCs w:val="18"/>
        </w:rPr>
        <w:t xml:space="preserve"> </w:t>
      </w:r>
      <w:r>
        <w:rPr>
          <w:sz w:val="18"/>
          <w:szCs w:val="18"/>
        </w:rPr>
        <w:tab/>
      </w:r>
      <w:r w:rsidRPr="0024132B">
        <w:rPr>
          <w:sz w:val="18"/>
          <w:szCs w:val="18"/>
        </w:rPr>
        <w:t>El</w:t>
      </w:r>
      <w:r>
        <w:rPr>
          <w:sz w:val="18"/>
          <w:szCs w:val="18"/>
        </w:rPr>
        <w:t xml:space="preserve"> </w:t>
      </w:r>
      <w:r w:rsidRPr="0024132B">
        <w:rPr>
          <w:sz w:val="18"/>
          <w:szCs w:val="18"/>
        </w:rPr>
        <w:t>enfoque sociosistémico se refiere al estudio y análisis de la sociedad y sus partes como sistema que funciona con unas reglas, leyes y mecanismos. El enfoque ecosistémico se refiere al ecosistema natural o biológico.</w:t>
      </w:r>
    </w:p>
    <w:p w:rsidR="00DD6A51" w:rsidRPr="0024132B" w:rsidRDefault="00DD6A51" w:rsidP="00041794">
      <w:pPr>
        <w:pStyle w:val="Textonotapie"/>
        <w:ind w:left="426" w:hanging="426"/>
        <w:rPr>
          <w:sz w:val="18"/>
          <w:szCs w:val="18"/>
        </w:rPr>
      </w:pPr>
    </w:p>
  </w:footnote>
  <w:footnote w:id="8">
    <w:p w:rsidR="00DD6A51" w:rsidRPr="0024132B" w:rsidRDefault="00DD6A51" w:rsidP="007C5CE1">
      <w:pPr>
        <w:pStyle w:val="Textonotapie"/>
        <w:ind w:left="426" w:hanging="426"/>
        <w:rPr>
          <w:sz w:val="18"/>
          <w:szCs w:val="18"/>
        </w:rPr>
      </w:pPr>
      <w:r w:rsidRPr="0024132B">
        <w:rPr>
          <w:rStyle w:val="Refdenotaalpie"/>
          <w:sz w:val="18"/>
          <w:szCs w:val="18"/>
        </w:rPr>
        <w:footnoteRef/>
      </w:r>
      <w:r>
        <w:rPr>
          <w:sz w:val="18"/>
          <w:szCs w:val="18"/>
        </w:rPr>
        <w:t xml:space="preserve">   </w:t>
      </w:r>
      <w:r w:rsidRPr="0024132B">
        <w:rPr>
          <w:sz w:val="18"/>
          <w:szCs w:val="18"/>
        </w:rPr>
        <w:t xml:space="preserve"> Linares, Ricardo. 2015. Guía para el Desarrollo de la Ordenación Forestal Integral y Sostenible en Colombia.</w:t>
      </w:r>
      <w:r>
        <w:rPr>
          <w:sz w:val="18"/>
          <w:szCs w:val="18"/>
        </w:rPr>
        <w:t xml:space="preserve">  </w:t>
      </w:r>
      <w:r w:rsidRPr="0024132B">
        <w:rPr>
          <w:sz w:val="18"/>
          <w:szCs w:val="18"/>
        </w:rPr>
        <w:t>Ministerio de Ambiente y Desarrollo Sostenible de la República de Colombia. Bogotá, D.C.. 177 p. Anexos. iI.</w:t>
      </w:r>
    </w:p>
  </w:footnote>
  <w:footnote w:id="9">
    <w:p w:rsidR="00DD6A51" w:rsidRPr="00576164" w:rsidRDefault="00DD6A51" w:rsidP="003A1ED1">
      <w:pPr>
        <w:ind w:left="426" w:hanging="426"/>
        <w:rPr>
          <w:sz w:val="18"/>
          <w:szCs w:val="18"/>
          <w:lang w:val="es-CO"/>
        </w:rPr>
      </w:pPr>
      <w:r w:rsidRPr="00576164">
        <w:rPr>
          <w:rStyle w:val="Refdenotaalpie"/>
          <w:sz w:val="18"/>
          <w:szCs w:val="18"/>
        </w:rPr>
        <w:footnoteRef/>
      </w:r>
      <w:r>
        <w:rPr>
          <w:sz w:val="18"/>
          <w:szCs w:val="18"/>
        </w:rPr>
        <w:t xml:space="preserve"> </w:t>
      </w:r>
      <w:r>
        <w:rPr>
          <w:rFonts w:cs="Arial"/>
          <w:sz w:val="18"/>
          <w:szCs w:val="18"/>
          <w:lang w:val="es-CO"/>
        </w:rPr>
        <w:t xml:space="preserve">  </w:t>
      </w:r>
      <w:r>
        <w:rPr>
          <w:rFonts w:cs="Arial"/>
          <w:sz w:val="18"/>
          <w:szCs w:val="18"/>
          <w:lang w:val="es-CO"/>
        </w:rPr>
        <w:tab/>
      </w:r>
      <w:r w:rsidRPr="00576164">
        <w:rPr>
          <w:rFonts w:cs="Arial"/>
          <w:sz w:val="18"/>
          <w:szCs w:val="18"/>
          <w:lang w:val="es-CO"/>
        </w:rPr>
        <w:t>Plan Nacional de Desarrollo 2014-2018: “Todos por un nuevo país”.</w:t>
      </w:r>
    </w:p>
  </w:footnote>
  <w:footnote w:id="10">
    <w:p w:rsidR="00DD6A51" w:rsidRPr="00576164" w:rsidRDefault="00DD6A51" w:rsidP="003A1ED1">
      <w:pPr>
        <w:pStyle w:val="Textonotapie"/>
        <w:ind w:left="426" w:hanging="426"/>
        <w:rPr>
          <w:sz w:val="18"/>
          <w:szCs w:val="18"/>
        </w:rPr>
      </w:pPr>
      <w:r w:rsidRPr="00576164">
        <w:rPr>
          <w:rStyle w:val="Refdenotaalpie"/>
          <w:sz w:val="18"/>
          <w:szCs w:val="18"/>
        </w:rPr>
        <w:footnoteRef/>
      </w:r>
      <w:r>
        <w:rPr>
          <w:sz w:val="18"/>
          <w:szCs w:val="18"/>
        </w:rPr>
        <w:t xml:space="preserve"> </w:t>
      </w:r>
      <w:r>
        <w:rPr>
          <w:sz w:val="18"/>
          <w:szCs w:val="18"/>
        </w:rPr>
        <w:tab/>
      </w:r>
      <w:r w:rsidRPr="00576164">
        <w:rPr>
          <w:sz w:val="18"/>
          <w:szCs w:val="18"/>
        </w:rPr>
        <w:t>M</w:t>
      </w:r>
      <w:r>
        <w:rPr>
          <w:sz w:val="18"/>
          <w:szCs w:val="18"/>
        </w:rPr>
        <w:t xml:space="preserve">INISTERIO DE </w:t>
      </w:r>
      <w:r w:rsidRPr="00576164">
        <w:rPr>
          <w:sz w:val="18"/>
          <w:szCs w:val="18"/>
        </w:rPr>
        <w:t>A</w:t>
      </w:r>
      <w:r>
        <w:rPr>
          <w:sz w:val="18"/>
          <w:szCs w:val="18"/>
        </w:rPr>
        <w:t xml:space="preserve">MBIENTE </w:t>
      </w:r>
      <w:r w:rsidRPr="00576164">
        <w:rPr>
          <w:sz w:val="18"/>
          <w:szCs w:val="18"/>
        </w:rPr>
        <w:t>V</w:t>
      </w:r>
      <w:r>
        <w:rPr>
          <w:sz w:val="18"/>
          <w:szCs w:val="18"/>
        </w:rPr>
        <w:t xml:space="preserve">IVIENDA Y </w:t>
      </w:r>
      <w:r w:rsidRPr="00576164">
        <w:rPr>
          <w:sz w:val="18"/>
          <w:szCs w:val="18"/>
        </w:rPr>
        <w:t>D</w:t>
      </w:r>
      <w:r>
        <w:rPr>
          <w:sz w:val="18"/>
          <w:szCs w:val="18"/>
        </w:rPr>
        <w:t xml:space="preserve">ESARROLLO </w:t>
      </w:r>
      <w:r w:rsidRPr="00576164">
        <w:rPr>
          <w:sz w:val="18"/>
          <w:szCs w:val="18"/>
        </w:rPr>
        <w:t>T</w:t>
      </w:r>
      <w:r>
        <w:rPr>
          <w:sz w:val="18"/>
          <w:szCs w:val="18"/>
        </w:rPr>
        <w:t>ERRITORIAL</w:t>
      </w:r>
      <w:r w:rsidRPr="00576164">
        <w:rPr>
          <w:sz w:val="18"/>
          <w:szCs w:val="18"/>
        </w:rPr>
        <w:t>. 2012. LA POLÍTICA NACIONAL PARA LA GESTIÓN</w:t>
      </w:r>
      <w:r>
        <w:rPr>
          <w:sz w:val="18"/>
          <w:szCs w:val="18"/>
        </w:rPr>
        <w:t xml:space="preserve">  </w:t>
      </w:r>
      <w:r w:rsidRPr="00576164">
        <w:rPr>
          <w:sz w:val="18"/>
          <w:szCs w:val="18"/>
        </w:rPr>
        <w:t>INTEGRAL DE LA BIODIVERSIDAD Y SUS SERVICIOS ECOSISTÉMICOS (PNGISBE). www.minambiente.gov.co</w:t>
      </w:r>
    </w:p>
  </w:footnote>
  <w:footnote w:id="11">
    <w:p w:rsidR="00DD6A51" w:rsidRPr="00254363" w:rsidRDefault="00DD6A51" w:rsidP="00ED6770">
      <w:pPr>
        <w:pStyle w:val="Textonotapie"/>
        <w:ind w:left="284" w:hanging="284"/>
        <w:rPr>
          <w:sz w:val="18"/>
          <w:szCs w:val="18"/>
        </w:rPr>
      </w:pPr>
      <w:r w:rsidRPr="00254363">
        <w:rPr>
          <w:rStyle w:val="Refdenotaalpie"/>
          <w:sz w:val="18"/>
          <w:szCs w:val="18"/>
        </w:rPr>
        <w:footnoteRef/>
      </w:r>
      <w:r w:rsidRPr="00254363">
        <w:rPr>
          <w:sz w:val="18"/>
          <w:szCs w:val="18"/>
        </w:rPr>
        <w:t xml:space="preserve"> </w:t>
      </w:r>
      <w:r>
        <w:rPr>
          <w:sz w:val="18"/>
          <w:szCs w:val="18"/>
        </w:rPr>
        <w:tab/>
      </w:r>
      <w:r w:rsidRPr="00254363">
        <w:rPr>
          <w:sz w:val="18"/>
          <w:szCs w:val="18"/>
        </w:rPr>
        <w:t>Ibídem</w:t>
      </w:r>
    </w:p>
  </w:footnote>
  <w:footnote w:id="12">
    <w:p w:rsidR="00DD6A51" w:rsidRDefault="00DD6A51" w:rsidP="00ED6770">
      <w:pPr>
        <w:pStyle w:val="Textonotapie"/>
        <w:ind w:left="284" w:hanging="284"/>
      </w:pPr>
      <w:r w:rsidRPr="00DE5964">
        <w:rPr>
          <w:rStyle w:val="Refdenotaalpie"/>
          <w:sz w:val="18"/>
          <w:szCs w:val="18"/>
        </w:rPr>
        <w:footnoteRef/>
      </w:r>
      <w:r w:rsidRPr="00DE5964">
        <w:rPr>
          <w:rFonts w:cs="Arial"/>
          <w:sz w:val="18"/>
          <w:szCs w:val="18"/>
        </w:rPr>
        <w:t xml:space="preserve"> </w:t>
      </w:r>
      <w:r>
        <w:rPr>
          <w:rFonts w:cs="Arial"/>
          <w:sz w:val="18"/>
          <w:szCs w:val="18"/>
        </w:rPr>
        <w:tab/>
      </w:r>
      <w:r w:rsidRPr="00DE5964">
        <w:rPr>
          <w:rFonts w:cs="Arial"/>
          <w:sz w:val="18"/>
          <w:szCs w:val="18"/>
        </w:rPr>
        <w:t>En la actualidad esto determina un reto mayor para el manejo porque las influencias reciprocas en los SES han dado como resultado sistemas diferentes que aunque transformados, conservan grandes valores ecológicos y funciones que también hay que recuperar, conservar y manejar.</w:t>
      </w:r>
    </w:p>
  </w:footnote>
  <w:footnote w:id="13">
    <w:p w:rsidR="00DD6A51" w:rsidRPr="00DE4F71" w:rsidRDefault="00DD6A51" w:rsidP="00ED6770">
      <w:pPr>
        <w:pStyle w:val="Textonotapie"/>
        <w:ind w:left="284" w:hanging="284"/>
        <w:rPr>
          <w:sz w:val="18"/>
          <w:szCs w:val="18"/>
        </w:rPr>
      </w:pPr>
      <w:r w:rsidRPr="00DE4F71">
        <w:rPr>
          <w:rStyle w:val="Refdenotaalpie"/>
          <w:sz w:val="18"/>
          <w:szCs w:val="18"/>
        </w:rPr>
        <w:footnoteRef/>
      </w:r>
      <w:r w:rsidRPr="00DE4F71">
        <w:rPr>
          <w:sz w:val="18"/>
          <w:szCs w:val="18"/>
        </w:rPr>
        <w:t xml:space="preserve"> </w:t>
      </w:r>
      <w:r>
        <w:rPr>
          <w:sz w:val="18"/>
          <w:szCs w:val="18"/>
        </w:rPr>
        <w:tab/>
      </w:r>
      <w:r>
        <w:rPr>
          <w:sz w:val="18"/>
          <w:szCs w:val="18"/>
        </w:rPr>
        <w:tab/>
      </w:r>
      <w:r>
        <w:rPr>
          <w:sz w:val="18"/>
          <w:szCs w:val="18"/>
        </w:rPr>
        <w:tab/>
        <w:t xml:space="preserve">  </w:t>
      </w:r>
      <w:r w:rsidRPr="00DE4F71">
        <w:rPr>
          <w:sz w:val="18"/>
          <w:szCs w:val="18"/>
        </w:rPr>
        <w:t>Esta sección contó con los aportes del Ingeniero Rubén Darío Guerrero, funcionario del MADS, adscrito a la DBBSE.</w:t>
      </w:r>
    </w:p>
  </w:footnote>
  <w:footnote w:id="14">
    <w:p w:rsidR="00DD6A51" w:rsidRDefault="00DD6A51" w:rsidP="007A66CF">
      <w:pPr>
        <w:ind w:left="426" w:hanging="426"/>
      </w:pPr>
      <w:r w:rsidRPr="00AF13E1">
        <w:rPr>
          <w:rStyle w:val="Refdenotaalpie"/>
          <w:sz w:val="18"/>
          <w:szCs w:val="18"/>
        </w:rPr>
        <w:footnoteRef/>
      </w:r>
      <w:r w:rsidRPr="00AF13E1">
        <w:rPr>
          <w:sz w:val="18"/>
          <w:szCs w:val="18"/>
        </w:rPr>
        <w:t xml:space="preserve"> </w:t>
      </w:r>
      <w:r>
        <w:rPr>
          <w:sz w:val="18"/>
          <w:szCs w:val="18"/>
        </w:rPr>
        <w:tab/>
      </w:r>
      <w:r w:rsidRPr="00AF13E1">
        <w:rPr>
          <w:sz w:val="18"/>
          <w:szCs w:val="18"/>
        </w:rPr>
        <w:t>Según el Plan de Acción de Bali (2007), se denomina REDD + a la reducción de emisiones derivadas de la deforestación y la degradación forestal; además de la conservación, el manejo sostenible y el mejoramiento del stock de carbono de los bosques en los países en desarrollo.</w:t>
      </w:r>
    </w:p>
  </w:footnote>
  <w:footnote w:id="15">
    <w:p w:rsidR="00DD6A51" w:rsidRDefault="00DD6A51" w:rsidP="007A66CF">
      <w:pPr>
        <w:pStyle w:val="Textonotapie"/>
        <w:ind w:left="426" w:hanging="426"/>
      </w:pPr>
      <w:r>
        <w:rPr>
          <w:rStyle w:val="Refdenotaalpie"/>
        </w:rPr>
        <w:footnoteRef/>
      </w:r>
      <w:r>
        <w:t xml:space="preserve"> </w:t>
      </w:r>
      <w:r>
        <w:tab/>
      </w:r>
      <w:r w:rsidRPr="007A66CF">
        <w:rPr>
          <w:sz w:val="18"/>
          <w:szCs w:val="18"/>
        </w:rPr>
        <w:t>Apéndice I de la Decisión 1/CP. 16</w:t>
      </w:r>
      <w:r>
        <w:rPr>
          <w:sz w:val="18"/>
          <w:szCs w:val="18"/>
        </w:rPr>
        <w:t xml:space="preserve"> (El Acuerdo de Cancún)</w:t>
      </w:r>
    </w:p>
  </w:footnote>
  <w:footnote w:id="16">
    <w:p w:rsidR="00DD6A51" w:rsidRPr="00322648" w:rsidRDefault="00DD6A51" w:rsidP="006D1EF9">
      <w:pPr>
        <w:pStyle w:val="Textonotapie"/>
        <w:ind w:left="284" w:hanging="284"/>
        <w:rPr>
          <w:sz w:val="18"/>
          <w:szCs w:val="18"/>
        </w:rPr>
      </w:pPr>
      <w:r w:rsidRPr="00322648">
        <w:rPr>
          <w:rStyle w:val="Refdenotaalpie"/>
          <w:sz w:val="18"/>
          <w:szCs w:val="18"/>
        </w:rPr>
        <w:footnoteRef/>
      </w:r>
      <w:r w:rsidRPr="00322648">
        <w:rPr>
          <w:sz w:val="18"/>
          <w:szCs w:val="18"/>
        </w:rPr>
        <w:t xml:space="preserve"> </w:t>
      </w:r>
      <w:r>
        <w:rPr>
          <w:sz w:val="18"/>
          <w:szCs w:val="18"/>
        </w:rPr>
        <w:tab/>
        <w:t xml:space="preserve">Basada en las cifras de: INSTITUTO GEOGRÁFICO AGUSTÍN CODAZZI, 2012. </w:t>
      </w:r>
      <w:r w:rsidRPr="008B273A">
        <w:rPr>
          <w:sz w:val="18"/>
          <w:szCs w:val="18"/>
        </w:rPr>
        <w:t>“Estudio de los Conflictos de Uso del Territorio Colombiano a escala 1:100.000</w:t>
      </w:r>
      <w:r w:rsidRPr="00322648">
        <w:rPr>
          <w:sz w:val="18"/>
          <w:szCs w:val="18"/>
        </w:rPr>
        <w:t xml:space="preserve">. </w:t>
      </w:r>
      <w:r>
        <w:rPr>
          <w:sz w:val="18"/>
          <w:szCs w:val="18"/>
        </w:rPr>
        <w:t>Bogotá, D.C. 212 p. Mapas. Anexos</w:t>
      </w:r>
    </w:p>
  </w:footnote>
  <w:footnote w:id="17">
    <w:p w:rsidR="00DD6A51" w:rsidRPr="00322648" w:rsidRDefault="00DD6A51" w:rsidP="006D1EF9">
      <w:pPr>
        <w:pStyle w:val="Textonotapie"/>
        <w:ind w:left="284" w:hanging="284"/>
        <w:rPr>
          <w:sz w:val="18"/>
          <w:szCs w:val="18"/>
        </w:rPr>
      </w:pPr>
      <w:r w:rsidRPr="00EB5570">
        <w:rPr>
          <w:rStyle w:val="Refdenotaalpie"/>
          <w:sz w:val="18"/>
          <w:szCs w:val="18"/>
        </w:rPr>
        <w:footnoteRef/>
      </w:r>
      <w:r w:rsidRPr="00EB5570">
        <w:rPr>
          <w:sz w:val="18"/>
          <w:szCs w:val="18"/>
        </w:rPr>
        <w:t xml:space="preserve"> </w:t>
      </w:r>
      <w:r>
        <w:rPr>
          <w:sz w:val="18"/>
          <w:szCs w:val="18"/>
        </w:rPr>
        <w:tab/>
      </w:r>
      <w:r w:rsidRPr="00EB5570">
        <w:rPr>
          <w:sz w:val="18"/>
          <w:szCs w:val="18"/>
        </w:rPr>
        <w:t xml:space="preserve">Tomado de: </w:t>
      </w:r>
      <w:r>
        <w:rPr>
          <w:sz w:val="18"/>
          <w:szCs w:val="18"/>
        </w:rPr>
        <w:t xml:space="preserve">IDEAM, 2013. Mapa de bosque no bosque. Escala 1:100.000 </w:t>
      </w:r>
    </w:p>
  </w:footnote>
  <w:footnote w:id="18">
    <w:p w:rsidR="00DD6A51" w:rsidRPr="00293C7D" w:rsidRDefault="00DD6A51" w:rsidP="00CF193D">
      <w:pPr>
        <w:pStyle w:val="Textonotapie"/>
        <w:ind w:left="284" w:hanging="284"/>
      </w:pPr>
      <w:r w:rsidRPr="0080434D">
        <w:rPr>
          <w:rStyle w:val="Refdenotaalpie"/>
          <w:sz w:val="18"/>
          <w:szCs w:val="18"/>
        </w:rPr>
        <w:footnoteRef/>
      </w:r>
      <w:r>
        <w:rPr>
          <w:sz w:val="18"/>
          <w:szCs w:val="18"/>
        </w:rPr>
        <w:t xml:space="preserve">  </w:t>
      </w:r>
      <w:r w:rsidRPr="0080434D">
        <w:rPr>
          <w:sz w:val="18"/>
          <w:szCs w:val="18"/>
        </w:rPr>
        <w:t>Tomado de: INSTITUTO GEOGRÁFICO AGUSTÍN CODAZZI, 2012. “Estudio de los Conflictos de Uso del Territorio Colombiano a escala 1:100</w:t>
      </w:r>
      <w:r w:rsidRPr="008B273A">
        <w:rPr>
          <w:sz w:val="18"/>
          <w:szCs w:val="18"/>
        </w:rPr>
        <w:t>.000</w:t>
      </w:r>
      <w:r w:rsidRPr="00322648">
        <w:rPr>
          <w:sz w:val="18"/>
          <w:szCs w:val="18"/>
        </w:rPr>
        <w:t xml:space="preserve">. </w:t>
      </w:r>
      <w:r>
        <w:rPr>
          <w:sz w:val="18"/>
          <w:szCs w:val="18"/>
        </w:rPr>
        <w:t>Bogotá, D.C. 212 p. Mapas. Anexos</w:t>
      </w:r>
    </w:p>
  </w:footnote>
  <w:footnote w:id="19">
    <w:p w:rsidR="00DD6A51" w:rsidRPr="00960D30" w:rsidRDefault="00DD6A51">
      <w:pPr>
        <w:pStyle w:val="Textonotapie"/>
        <w:rPr>
          <w:sz w:val="18"/>
          <w:szCs w:val="18"/>
        </w:rPr>
      </w:pPr>
      <w:r>
        <w:rPr>
          <w:rStyle w:val="Refdenotaalpie"/>
        </w:rPr>
        <w:footnoteRef/>
      </w:r>
      <w:r>
        <w:t xml:space="preserve"> </w:t>
      </w:r>
      <w:r>
        <w:rPr>
          <w:sz w:val="18"/>
          <w:szCs w:val="18"/>
        </w:rPr>
        <w:t>Ministerio de Ambiente y Desarrollo Sostenible de Colombia, 2017</w:t>
      </w:r>
    </w:p>
  </w:footnote>
  <w:footnote w:id="20">
    <w:p w:rsidR="00DD6A51" w:rsidRPr="0025208C" w:rsidRDefault="00DD6A51" w:rsidP="00580C92">
      <w:pPr>
        <w:pStyle w:val="Textonotapie"/>
        <w:ind w:left="284" w:hanging="284"/>
        <w:rPr>
          <w:sz w:val="18"/>
          <w:szCs w:val="18"/>
        </w:rPr>
      </w:pPr>
      <w:r w:rsidRPr="0025208C">
        <w:rPr>
          <w:rStyle w:val="Refdenotaalpie"/>
          <w:sz w:val="18"/>
          <w:szCs w:val="18"/>
        </w:rPr>
        <w:footnoteRef/>
      </w:r>
      <w:r w:rsidRPr="0025208C">
        <w:rPr>
          <w:sz w:val="18"/>
          <w:szCs w:val="18"/>
        </w:rPr>
        <w:t xml:space="preserve"> </w:t>
      </w:r>
      <w:r w:rsidRPr="0025208C">
        <w:rPr>
          <w:sz w:val="18"/>
          <w:szCs w:val="18"/>
        </w:rPr>
        <w:tab/>
        <w:t>MINISTERIO DE AMBIENTE Y DESARROLLO SOSTENIBLE DE LA REPÚBICA DE COLOMBIA. 2013. Guía Técnica para la formulación de los Planes de Ordenación y Manejo de Cuencas Hidrogràficas. Bogotá, D.C. 116 p</w:t>
      </w:r>
    </w:p>
  </w:footnote>
  <w:footnote w:id="21">
    <w:p w:rsidR="00DD6A51" w:rsidRDefault="00DD6A51" w:rsidP="00580C92">
      <w:pPr>
        <w:pStyle w:val="Textonotapie"/>
        <w:ind w:left="284" w:hanging="284"/>
      </w:pPr>
      <w:r w:rsidRPr="0025208C">
        <w:rPr>
          <w:rStyle w:val="Refdenotaalpie"/>
          <w:sz w:val="18"/>
          <w:szCs w:val="18"/>
        </w:rPr>
        <w:footnoteRef/>
      </w:r>
      <w:r>
        <w:rPr>
          <w:sz w:val="18"/>
          <w:szCs w:val="18"/>
        </w:rPr>
        <w:t xml:space="preserve">  </w:t>
      </w:r>
      <w:r w:rsidRPr="0025208C">
        <w:rPr>
          <w:sz w:val="18"/>
          <w:szCs w:val="18"/>
        </w:rPr>
        <w:t>Ibíd.</w:t>
      </w:r>
    </w:p>
  </w:footnote>
  <w:footnote w:id="22">
    <w:p w:rsidR="00DD6A51" w:rsidRPr="00874E3A" w:rsidRDefault="00DD6A51" w:rsidP="007E2505">
      <w:pPr>
        <w:pStyle w:val="Textonotapie"/>
        <w:ind w:left="284" w:hanging="284"/>
        <w:rPr>
          <w:sz w:val="18"/>
          <w:szCs w:val="18"/>
        </w:rPr>
      </w:pPr>
      <w:r w:rsidRPr="00874E3A">
        <w:rPr>
          <w:rStyle w:val="Refdenotaalpie"/>
          <w:sz w:val="18"/>
          <w:szCs w:val="18"/>
        </w:rPr>
        <w:footnoteRef/>
      </w:r>
      <w:r>
        <w:rPr>
          <w:sz w:val="18"/>
          <w:szCs w:val="18"/>
        </w:rPr>
        <w:t xml:space="preserve">  </w:t>
      </w:r>
      <w:r w:rsidRPr="00874E3A">
        <w:rPr>
          <w:sz w:val="18"/>
          <w:szCs w:val="18"/>
        </w:rPr>
        <w:t>Ibid.</w:t>
      </w:r>
    </w:p>
  </w:footnote>
  <w:footnote w:id="23">
    <w:p w:rsidR="00DD6A51" w:rsidRPr="00580C92" w:rsidRDefault="00DD6A51" w:rsidP="00580C92">
      <w:pPr>
        <w:pStyle w:val="Textonotapie"/>
        <w:ind w:left="284" w:hanging="284"/>
        <w:rPr>
          <w:sz w:val="18"/>
          <w:szCs w:val="18"/>
        </w:rPr>
      </w:pPr>
      <w:r w:rsidRPr="00580C92">
        <w:rPr>
          <w:rStyle w:val="Refdenotaalpie"/>
          <w:sz w:val="18"/>
          <w:szCs w:val="18"/>
        </w:rPr>
        <w:footnoteRef/>
      </w:r>
      <w:r>
        <w:rPr>
          <w:sz w:val="18"/>
          <w:szCs w:val="18"/>
        </w:rPr>
        <w:t xml:space="preserve">  </w:t>
      </w:r>
      <w:r w:rsidRPr="00580C92">
        <w:rPr>
          <w:sz w:val="18"/>
          <w:szCs w:val="18"/>
        </w:rPr>
        <w:t>Plan Nacional de Desarrollo Forestal (PNDF). CONPES 2135 de 2001</w:t>
      </w:r>
    </w:p>
  </w:footnote>
  <w:footnote w:id="24">
    <w:p w:rsidR="00DD6A51" w:rsidRPr="00E01E33" w:rsidRDefault="00DD6A51" w:rsidP="00BD2164">
      <w:pPr>
        <w:pStyle w:val="Textonotapie"/>
        <w:ind w:left="426" w:hanging="426"/>
        <w:rPr>
          <w:sz w:val="18"/>
          <w:szCs w:val="18"/>
        </w:rPr>
      </w:pPr>
      <w:r w:rsidRPr="00E01E33">
        <w:rPr>
          <w:rStyle w:val="Refdenotaalpie"/>
          <w:sz w:val="18"/>
          <w:szCs w:val="18"/>
        </w:rPr>
        <w:footnoteRef/>
      </w:r>
      <w:r>
        <w:rPr>
          <w:sz w:val="18"/>
          <w:szCs w:val="18"/>
        </w:rPr>
        <w:t xml:space="preserve">  </w:t>
      </w:r>
      <w:r w:rsidRPr="00E01E33">
        <w:rPr>
          <w:sz w:val="18"/>
          <w:szCs w:val="18"/>
        </w:rPr>
        <w:t xml:space="preserve">Se entiende </w:t>
      </w:r>
      <w:r>
        <w:rPr>
          <w:sz w:val="18"/>
          <w:szCs w:val="18"/>
        </w:rPr>
        <w:t xml:space="preserve">por </w:t>
      </w:r>
      <w:r w:rsidRPr="00E01E33">
        <w:rPr>
          <w:sz w:val="18"/>
          <w:szCs w:val="18"/>
          <w:u w:val="single"/>
        </w:rPr>
        <w:t>régimen de ordenación forestal</w:t>
      </w:r>
      <w:r w:rsidRPr="00E01E33">
        <w:rPr>
          <w:sz w:val="18"/>
          <w:szCs w:val="18"/>
        </w:rPr>
        <w:t xml:space="preserve"> al cuerpo técnico del </w:t>
      </w:r>
      <w:r>
        <w:rPr>
          <w:sz w:val="18"/>
          <w:szCs w:val="18"/>
        </w:rPr>
        <w:t xml:space="preserve">PGOF </w:t>
      </w:r>
      <w:r w:rsidRPr="00E01E33">
        <w:rPr>
          <w:sz w:val="18"/>
          <w:szCs w:val="18"/>
        </w:rPr>
        <w:t>conformado la zonificación final en unidades administrativas de ordenación forestal,</w:t>
      </w:r>
      <w:r>
        <w:rPr>
          <w:sz w:val="18"/>
          <w:szCs w:val="18"/>
        </w:rPr>
        <w:t xml:space="preserve"> </w:t>
      </w:r>
      <w:r w:rsidRPr="00E01E33">
        <w:rPr>
          <w:sz w:val="18"/>
          <w:szCs w:val="18"/>
        </w:rPr>
        <w:t xml:space="preserve">su prospección a futuro y el conjunto de lineamientos fijados para cada una de ellas según su naturaleza, en cuanto a actividades permitidas, actividades prohibidas y actividades restringidas. </w:t>
      </w:r>
    </w:p>
  </w:footnote>
  <w:footnote w:id="25">
    <w:p w:rsidR="00DD6A51" w:rsidRPr="0051155D" w:rsidRDefault="00DD6A51" w:rsidP="000547CB">
      <w:pPr>
        <w:pStyle w:val="Textonotapie"/>
        <w:rPr>
          <w:sz w:val="18"/>
          <w:szCs w:val="18"/>
        </w:rPr>
      </w:pPr>
      <w:r w:rsidRPr="0051155D">
        <w:rPr>
          <w:rStyle w:val="Refdenotaalpie"/>
          <w:sz w:val="18"/>
          <w:szCs w:val="18"/>
        </w:rPr>
        <w:footnoteRef/>
      </w:r>
      <w:r w:rsidRPr="0051155D">
        <w:rPr>
          <w:sz w:val="18"/>
          <w:szCs w:val="18"/>
        </w:rPr>
        <w:t xml:space="preserve"> Las normas aquí citadas fueron consultadas en el sitio: www.alcaldiabogota.gov.co/sisjur/normas/Norma1.jsp?i=3610 </w:t>
      </w:r>
    </w:p>
  </w:footnote>
  <w:footnote w:id="26">
    <w:p w:rsidR="00DD6A51" w:rsidRPr="0060059F" w:rsidRDefault="00DD6A51" w:rsidP="000547CB">
      <w:pPr>
        <w:pStyle w:val="Textonotapie"/>
        <w:ind w:left="142" w:hanging="142"/>
      </w:pPr>
      <w:r w:rsidRPr="0060059F">
        <w:rPr>
          <w:rStyle w:val="Refdenotaalpie"/>
          <w:sz w:val="18"/>
          <w:szCs w:val="18"/>
        </w:rPr>
        <w:footnoteRef/>
      </w:r>
      <w:r>
        <w:rPr>
          <w:sz w:val="18"/>
          <w:szCs w:val="18"/>
        </w:rPr>
        <w:t xml:space="preserve"> </w:t>
      </w:r>
      <w:r w:rsidRPr="0060059F">
        <w:rPr>
          <w:sz w:val="18"/>
          <w:szCs w:val="18"/>
        </w:rPr>
        <w:t>CONPES: Consejo Nacional de Política Económica y Social. Fue creado por la Ley 19 de 1958. Ésta es la máxima autoridad nacional de planeación y se desempeña como organismo asesor del Gobierno en todos los aspectos relacionados con el desarrollo económico y social del país.</w:t>
      </w:r>
      <w:r w:rsidRPr="0060059F">
        <w:t xml:space="preserve"> </w:t>
      </w:r>
    </w:p>
    <w:p w:rsidR="00DD6A51" w:rsidRPr="00624C84" w:rsidRDefault="00DD6A51" w:rsidP="000547CB">
      <w:pPr>
        <w:pStyle w:val="Textonotapie"/>
      </w:pPr>
    </w:p>
  </w:footnote>
  <w:footnote w:id="27">
    <w:p w:rsidR="00DD6A51" w:rsidRPr="0060059F" w:rsidRDefault="00DD6A51" w:rsidP="000547CB">
      <w:pPr>
        <w:pStyle w:val="Textonotapie"/>
        <w:rPr>
          <w:sz w:val="18"/>
          <w:szCs w:val="18"/>
        </w:rPr>
      </w:pPr>
      <w:r w:rsidRPr="0060059F">
        <w:rPr>
          <w:rStyle w:val="Refdenotaalpie"/>
          <w:sz w:val="18"/>
          <w:szCs w:val="18"/>
        </w:rPr>
        <w:footnoteRef/>
      </w:r>
      <w:r w:rsidRPr="0060059F">
        <w:rPr>
          <w:sz w:val="18"/>
          <w:szCs w:val="18"/>
        </w:rPr>
        <w:t xml:space="preserve"> La gestión sobre las plantaciones forestales quedaría a cargo del Ministerio de Agricultura y Desarrollo Rural.</w:t>
      </w:r>
    </w:p>
  </w:footnote>
  <w:footnote w:id="28">
    <w:p w:rsidR="00DD6A51" w:rsidRPr="00275EF6" w:rsidRDefault="00DD6A51" w:rsidP="000547CB">
      <w:pPr>
        <w:pStyle w:val="Textonotapie"/>
        <w:rPr>
          <w:sz w:val="18"/>
          <w:szCs w:val="18"/>
        </w:rPr>
      </w:pPr>
      <w:r w:rsidRPr="00275EF6">
        <w:rPr>
          <w:rStyle w:val="Refdenotaalpie"/>
          <w:sz w:val="18"/>
          <w:szCs w:val="18"/>
        </w:rPr>
        <w:footnoteRef/>
      </w:r>
      <w:r w:rsidRPr="00275EF6">
        <w:rPr>
          <w:sz w:val="18"/>
          <w:szCs w:val="18"/>
        </w:rPr>
        <w:t xml:space="preserve"> Se refiere a la formulación </w:t>
      </w:r>
      <w:r w:rsidRPr="00275EF6">
        <w:rPr>
          <w:sz w:val="18"/>
          <w:szCs w:val="18"/>
          <w:lang w:val="es-CO"/>
        </w:rPr>
        <w:t>del Plan de Ordenación y Manejo de la Cuenca Hidrográfica.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A51" w:rsidRDefault="00DD6A51">
    <w:pPr>
      <w:pStyle w:val="Encabezado"/>
    </w:pPr>
    <w:r>
      <w:rPr>
        <w:noProof/>
        <w:lang w:val="es-CO" w:eastAsia="es-CO"/>
      </w:rPr>
      <w:drawing>
        <wp:anchor distT="0" distB="0" distL="114300" distR="114300" simplePos="0" relativeHeight="251659264" behindDoc="1" locked="0" layoutInCell="1" allowOverlap="1" wp14:anchorId="3284069F" wp14:editId="0DFECA39">
          <wp:simplePos x="0" y="0"/>
          <wp:positionH relativeFrom="column">
            <wp:posOffset>4460875</wp:posOffset>
          </wp:positionH>
          <wp:positionV relativeFrom="paragraph">
            <wp:posOffset>-74930</wp:posOffset>
          </wp:positionV>
          <wp:extent cx="1402080" cy="593090"/>
          <wp:effectExtent l="0" t="0" r="7620" b="0"/>
          <wp:wrapThrough wrapText="bothSides">
            <wp:wrapPolygon edited="0">
              <wp:start x="0" y="0"/>
              <wp:lineTo x="0" y="20814"/>
              <wp:lineTo x="21424" y="20814"/>
              <wp:lineTo x="21424" y="0"/>
              <wp:lineTo x="0" y="0"/>
            </wp:wrapPolygon>
          </wp:wrapThrough>
          <wp:docPr id="67" name="Imagen 67" descr="CD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M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2080" cy="5930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w:drawing>
        <wp:inline distT="0" distB="0" distL="0" distR="0" wp14:anchorId="02A092A0" wp14:editId="6525B427">
          <wp:extent cx="2512695" cy="419100"/>
          <wp:effectExtent l="0" t="0" r="1905" b="0"/>
          <wp:docPr id="66" name="Imagen 66" descr="Nuevo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Nuevo gobiern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2695" cy="419100"/>
                  </a:xfrm>
                  <a:prstGeom prst="rect">
                    <a:avLst/>
                  </a:prstGeom>
                  <a:noFill/>
                  <a:ln>
                    <a:noFill/>
                  </a:ln>
                </pic:spPr>
              </pic:pic>
            </a:graphicData>
          </a:graphic>
        </wp:inline>
      </w:drawing>
    </w:r>
  </w:p>
  <w:p w:rsidR="00DD6A51" w:rsidRPr="00C70930" w:rsidRDefault="00DD6A51" w:rsidP="00C70930">
    <w:pPr>
      <w:pStyle w:val="Encabezado"/>
      <w:jc w:val="right"/>
      <w:rPr>
        <w:szCs w:val="22"/>
      </w:rPr>
    </w:pPr>
    <w:r w:rsidRPr="00C70930">
      <w:rPr>
        <w:szCs w:val="22"/>
      </w:rPr>
      <w:t>Código DTIC-GIGT-E040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5C7F"/>
    <w:multiLevelType w:val="hybridMultilevel"/>
    <w:tmpl w:val="8598BE24"/>
    <w:lvl w:ilvl="0" w:tplc="12E65B86">
      <w:start w:val="1"/>
      <w:numFmt w:val="decimal"/>
      <w:lvlText w:val="%1)"/>
      <w:lvlJc w:val="left"/>
      <w:pPr>
        <w:ind w:left="663" w:hanging="360"/>
      </w:pPr>
      <w:rPr>
        <w:rFonts w:ascii="Arial Narrow" w:hAnsi="Arial Narrow" w:cs="Times New Roman" w:hint="default"/>
        <w:b w:val="0"/>
        <w:i w:val="0"/>
        <w:caps w:val="0"/>
        <w:vanish w:val="0"/>
        <w:sz w:val="20"/>
      </w:rPr>
    </w:lvl>
    <w:lvl w:ilvl="1" w:tplc="0C0A0003" w:tentative="1">
      <w:start w:val="1"/>
      <w:numFmt w:val="bullet"/>
      <w:lvlText w:val="o"/>
      <w:lvlJc w:val="left"/>
      <w:pPr>
        <w:ind w:left="1383" w:hanging="360"/>
      </w:pPr>
      <w:rPr>
        <w:rFonts w:ascii="Courier New" w:hAnsi="Courier New" w:cs="Courier New" w:hint="default"/>
      </w:rPr>
    </w:lvl>
    <w:lvl w:ilvl="2" w:tplc="0C0A0005" w:tentative="1">
      <w:start w:val="1"/>
      <w:numFmt w:val="bullet"/>
      <w:lvlText w:val=""/>
      <w:lvlJc w:val="left"/>
      <w:pPr>
        <w:ind w:left="2103" w:hanging="360"/>
      </w:pPr>
      <w:rPr>
        <w:rFonts w:ascii="Wingdings" w:hAnsi="Wingdings" w:hint="default"/>
      </w:rPr>
    </w:lvl>
    <w:lvl w:ilvl="3" w:tplc="0C0A0001" w:tentative="1">
      <w:start w:val="1"/>
      <w:numFmt w:val="bullet"/>
      <w:lvlText w:val=""/>
      <w:lvlJc w:val="left"/>
      <w:pPr>
        <w:ind w:left="2823" w:hanging="360"/>
      </w:pPr>
      <w:rPr>
        <w:rFonts w:ascii="Symbol" w:hAnsi="Symbol" w:hint="default"/>
      </w:rPr>
    </w:lvl>
    <w:lvl w:ilvl="4" w:tplc="0C0A0003" w:tentative="1">
      <w:start w:val="1"/>
      <w:numFmt w:val="bullet"/>
      <w:lvlText w:val="o"/>
      <w:lvlJc w:val="left"/>
      <w:pPr>
        <w:ind w:left="3543" w:hanging="360"/>
      </w:pPr>
      <w:rPr>
        <w:rFonts w:ascii="Courier New" w:hAnsi="Courier New" w:cs="Courier New" w:hint="default"/>
      </w:rPr>
    </w:lvl>
    <w:lvl w:ilvl="5" w:tplc="0C0A0005" w:tentative="1">
      <w:start w:val="1"/>
      <w:numFmt w:val="bullet"/>
      <w:lvlText w:val=""/>
      <w:lvlJc w:val="left"/>
      <w:pPr>
        <w:ind w:left="4263" w:hanging="360"/>
      </w:pPr>
      <w:rPr>
        <w:rFonts w:ascii="Wingdings" w:hAnsi="Wingdings" w:hint="default"/>
      </w:rPr>
    </w:lvl>
    <w:lvl w:ilvl="6" w:tplc="0C0A0001" w:tentative="1">
      <w:start w:val="1"/>
      <w:numFmt w:val="bullet"/>
      <w:lvlText w:val=""/>
      <w:lvlJc w:val="left"/>
      <w:pPr>
        <w:ind w:left="4983" w:hanging="360"/>
      </w:pPr>
      <w:rPr>
        <w:rFonts w:ascii="Symbol" w:hAnsi="Symbol" w:hint="default"/>
      </w:rPr>
    </w:lvl>
    <w:lvl w:ilvl="7" w:tplc="0C0A0003" w:tentative="1">
      <w:start w:val="1"/>
      <w:numFmt w:val="bullet"/>
      <w:lvlText w:val="o"/>
      <w:lvlJc w:val="left"/>
      <w:pPr>
        <w:ind w:left="5703" w:hanging="360"/>
      </w:pPr>
      <w:rPr>
        <w:rFonts w:ascii="Courier New" w:hAnsi="Courier New" w:cs="Courier New" w:hint="default"/>
      </w:rPr>
    </w:lvl>
    <w:lvl w:ilvl="8" w:tplc="0C0A0005" w:tentative="1">
      <w:start w:val="1"/>
      <w:numFmt w:val="bullet"/>
      <w:lvlText w:val=""/>
      <w:lvlJc w:val="left"/>
      <w:pPr>
        <w:ind w:left="6423" w:hanging="360"/>
      </w:pPr>
      <w:rPr>
        <w:rFonts w:ascii="Wingdings" w:hAnsi="Wingdings" w:hint="default"/>
      </w:rPr>
    </w:lvl>
  </w:abstractNum>
  <w:abstractNum w:abstractNumId="1">
    <w:nsid w:val="05425E03"/>
    <w:multiLevelType w:val="hybridMultilevel"/>
    <w:tmpl w:val="B9B0288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7AB68D0"/>
    <w:multiLevelType w:val="hybridMultilevel"/>
    <w:tmpl w:val="637CF4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9CB5544"/>
    <w:multiLevelType w:val="hybridMultilevel"/>
    <w:tmpl w:val="5F4A37B8"/>
    <w:lvl w:ilvl="0" w:tplc="ABAED838">
      <w:start w:val="1"/>
      <w:numFmt w:val="decimal"/>
      <w:lvlText w:val="%1."/>
      <w:lvlJc w:val="left"/>
      <w:pPr>
        <w:ind w:left="720" w:hanging="360"/>
      </w:pPr>
      <w:rPr>
        <w:rFonts w:ascii="Arial Narrow" w:hAnsi="Arial Narrow" w:cs="Arial" w:hint="default"/>
        <w:b w:val="0"/>
        <w:i w:val="0"/>
        <w:sz w:val="1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BA97BE9"/>
    <w:multiLevelType w:val="hybridMultilevel"/>
    <w:tmpl w:val="ED0EF1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E3C3F21"/>
    <w:multiLevelType w:val="hybridMultilevel"/>
    <w:tmpl w:val="448E63D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0EEA5FC8"/>
    <w:multiLevelType w:val="hybridMultilevel"/>
    <w:tmpl w:val="8912D9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69B77F4"/>
    <w:multiLevelType w:val="hybridMultilevel"/>
    <w:tmpl w:val="3E32534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6CD6B2D"/>
    <w:multiLevelType w:val="hybridMultilevel"/>
    <w:tmpl w:val="E4C2877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19824893"/>
    <w:multiLevelType w:val="hybridMultilevel"/>
    <w:tmpl w:val="FA38FB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AF43E5B"/>
    <w:multiLevelType w:val="hybridMultilevel"/>
    <w:tmpl w:val="B7167C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B745D68"/>
    <w:multiLevelType w:val="hybridMultilevel"/>
    <w:tmpl w:val="649E5C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1C77481A"/>
    <w:multiLevelType w:val="hybridMultilevel"/>
    <w:tmpl w:val="892CD6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F77580A"/>
    <w:multiLevelType w:val="hybridMultilevel"/>
    <w:tmpl w:val="964EADCC"/>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1CE07EF"/>
    <w:multiLevelType w:val="hybridMultilevel"/>
    <w:tmpl w:val="382AF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34F5509"/>
    <w:multiLevelType w:val="hybridMultilevel"/>
    <w:tmpl w:val="0C7EA7D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247F65C3"/>
    <w:multiLevelType w:val="hybridMultilevel"/>
    <w:tmpl w:val="560ECE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8C37816"/>
    <w:multiLevelType w:val="multilevel"/>
    <w:tmpl w:val="C9DCA5D8"/>
    <w:lvl w:ilvl="0">
      <w:start w:val="1"/>
      <w:numFmt w:val="none"/>
      <w:pStyle w:val="Fuente"/>
      <w:lvlText w:val="FUENTE: "/>
      <w:lvlJc w:val="left"/>
      <w:pPr>
        <w:tabs>
          <w:tab w:val="num" w:pos="1021"/>
        </w:tabs>
        <w:ind w:left="1021" w:hanging="1021"/>
      </w:pPr>
      <w:rPr>
        <w:rFonts w:ascii="Verdana" w:hAnsi="Verdana" w:hint="default"/>
        <w:b/>
        <w:i w:val="0"/>
        <w:caps w:val="0"/>
        <w:strike w:val="0"/>
        <w:dstrike w:val="0"/>
        <w:outline w:val="0"/>
        <w:shadow w:val="0"/>
        <w:emboss w:val="0"/>
        <w:imprint w:val="0"/>
        <w:vanish w:val="0"/>
        <w:sz w:val="18"/>
        <w:vertAlign w:val="baseline"/>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8">
    <w:nsid w:val="2A5F2FBC"/>
    <w:multiLevelType w:val="hybridMultilevel"/>
    <w:tmpl w:val="091017C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2B203603"/>
    <w:multiLevelType w:val="hybridMultilevel"/>
    <w:tmpl w:val="A9580A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2B6A3D4A"/>
    <w:multiLevelType w:val="hybridMultilevel"/>
    <w:tmpl w:val="C750CD58"/>
    <w:lvl w:ilvl="0" w:tplc="571EB37A">
      <w:start w:val="1"/>
      <w:numFmt w:val="decimal"/>
      <w:lvlText w:val="%1)"/>
      <w:lvlJc w:val="left"/>
      <w:pPr>
        <w:tabs>
          <w:tab w:val="num" w:pos="397"/>
        </w:tabs>
        <w:ind w:left="397" w:hanging="397"/>
      </w:pPr>
      <w:rPr>
        <w:rFonts w:ascii="Arial Narrow" w:hAnsi="Arial Narrow" w:cs="Times New Roman" w:hint="default"/>
        <w:b w:val="0"/>
        <w:i w:val="0"/>
        <w:caps w:val="0"/>
        <w:vanish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1">
    <w:nsid w:val="2CB30433"/>
    <w:multiLevelType w:val="singleLevel"/>
    <w:tmpl w:val="E2F8015A"/>
    <w:lvl w:ilvl="0">
      <w:start w:val="1"/>
      <w:numFmt w:val="decimal"/>
      <w:pStyle w:val="Listaconvietas"/>
      <w:lvlText w:val="%1."/>
      <w:lvlJc w:val="left"/>
      <w:pPr>
        <w:tabs>
          <w:tab w:val="num" w:pos="360"/>
        </w:tabs>
        <w:ind w:left="360" w:hanging="360"/>
      </w:pPr>
    </w:lvl>
  </w:abstractNum>
  <w:abstractNum w:abstractNumId="22">
    <w:nsid w:val="2CF74699"/>
    <w:multiLevelType w:val="hybridMultilevel"/>
    <w:tmpl w:val="436011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2FE11754"/>
    <w:multiLevelType w:val="hybridMultilevel"/>
    <w:tmpl w:val="432A35EE"/>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344B6599"/>
    <w:multiLevelType w:val="hybridMultilevel"/>
    <w:tmpl w:val="47E2FF64"/>
    <w:lvl w:ilvl="0" w:tplc="345AED3C">
      <w:start w:val="1"/>
      <w:numFmt w:val="bullet"/>
      <w:lvlText w:val=""/>
      <w:lvlJc w:val="left"/>
      <w:pPr>
        <w:ind w:left="663" w:hanging="360"/>
      </w:pPr>
      <w:rPr>
        <w:rFonts w:ascii="Symbol" w:hAnsi="Symbol" w:hint="default"/>
      </w:rPr>
    </w:lvl>
    <w:lvl w:ilvl="1" w:tplc="0C0A0003">
      <w:start w:val="1"/>
      <w:numFmt w:val="bullet"/>
      <w:lvlText w:val="o"/>
      <w:lvlJc w:val="left"/>
      <w:pPr>
        <w:ind w:left="1383" w:hanging="360"/>
      </w:pPr>
      <w:rPr>
        <w:rFonts w:ascii="Courier New" w:hAnsi="Courier New" w:cs="Courier New" w:hint="default"/>
      </w:rPr>
    </w:lvl>
    <w:lvl w:ilvl="2" w:tplc="0C0A0005" w:tentative="1">
      <w:start w:val="1"/>
      <w:numFmt w:val="bullet"/>
      <w:lvlText w:val=""/>
      <w:lvlJc w:val="left"/>
      <w:pPr>
        <w:ind w:left="2103" w:hanging="360"/>
      </w:pPr>
      <w:rPr>
        <w:rFonts w:ascii="Wingdings" w:hAnsi="Wingdings" w:hint="default"/>
      </w:rPr>
    </w:lvl>
    <w:lvl w:ilvl="3" w:tplc="0C0A0001" w:tentative="1">
      <w:start w:val="1"/>
      <w:numFmt w:val="bullet"/>
      <w:lvlText w:val=""/>
      <w:lvlJc w:val="left"/>
      <w:pPr>
        <w:ind w:left="2823" w:hanging="360"/>
      </w:pPr>
      <w:rPr>
        <w:rFonts w:ascii="Symbol" w:hAnsi="Symbol" w:hint="default"/>
      </w:rPr>
    </w:lvl>
    <w:lvl w:ilvl="4" w:tplc="0C0A0003" w:tentative="1">
      <w:start w:val="1"/>
      <w:numFmt w:val="bullet"/>
      <w:lvlText w:val="o"/>
      <w:lvlJc w:val="left"/>
      <w:pPr>
        <w:ind w:left="3543" w:hanging="360"/>
      </w:pPr>
      <w:rPr>
        <w:rFonts w:ascii="Courier New" w:hAnsi="Courier New" w:cs="Courier New" w:hint="default"/>
      </w:rPr>
    </w:lvl>
    <w:lvl w:ilvl="5" w:tplc="0C0A0005" w:tentative="1">
      <w:start w:val="1"/>
      <w:numFmt w:val="bullet"/>
      <w:lvlText w:val=""/>
      <w:lvlJc w:val="left"/>
      <w:pPr>
        <w:ind w:left="4263" w:hanging="360"/>
      </w:pPr>
      <w:rPr>
        <w:rFonts w:ascii="Wingdings" w:hAnsi="Wingdings" w:hint="default"/>
      </w:rPr>
    </w:lvl>
    <w:lvl w:ilvl="6" w:tplc="0C0A0001" w:tentative="1">
      <w:start w:val="1"/>
      <w:numFmt w:val="bullet"/>
      <w:lvlText w:val=""/>
      <w:lvlJc w:val="left"/>
      <w:pPr>
        <w:ind w:left="4983" w:hanging="360"/>
      </w:pPr>
      <w:rPr>
        <w:rFonts w:ascii="Symbol" w:hAnsi="Symbol" w:hint="default"/>
      </w:rPr>
    </w:lvl>
    <w:lvl w:ilvl="7" w:tplc="0C0A0003" w:tentative="1">
      <w:start w:val="1"/>
      <w:numFmt w:val="bullet"/>
      <w:lvlText w:val="o"/>
      <w:lvlJc w:val="left"/>
      <w:pPr>
        <w:ind w:left="5703" w:hanging="360"/>
      </w:pPr>
      <w:rPr>
        <w:rFonts w:ascii="Courier New" w:hAnsi="Courier New" w:cs="Courier New" w:hint="default"/>
      </w:rPr>
    </w:lvl>
    <w:lvl w:ilvl="8" w:tplc="0C0A0005" w:tentative="1">
      <w:start w:val="1"/>
      <w:numFmt w:val="bullet"/>
      <w:lvlText w:val=""/>
      <w:lvlJc w:val="left"/>
      <w:pPr>
        <w:ind w:left="6423" w:hanging="360"/>
      </w:pPr>
      <w:rPr>
        <w:rFonts w:ascii="Wingdings" w:hAnsi="Wingdings" w:hint="default"/>
      </w:rPr>
    </w:lvl>
  </w:abstractNum>
  <w:abstractNum w:abstractNumId="25">
    <w:nsid w:val="345B3E05"/>
    <w:multiLevelType w:val="hybridMultilevel"/>
    <w:tmpl w:val="24309184"/>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429A4B37"/>
    <w:multiLevelType w:val="hybridMultilevel"/>
    <w:tmpl w:val="603E8B96"/>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429E7679"/>
    <w:multiLevelType w:val="hybridMultilevel"/>
    <w:tmpl w:val="9C9EEF5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43F1282D"/>
    <w:multiLevelType w:val="hybridMultilevel"/>
    <w:tmpl w:val="DDB61D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46C54665"/>
    <w:multiLevelType w:val="hybridMultilevel"/>
    <w:tmpl w:val="4EA8D5E6"/>
    <w:lvl w:ilvl="0" w:tplc="0C0A0001">
      <w:start w:val="1"/>
      <w:numFmt w:val="bullet"/>
      <w:lvlText w:val=""/>
      <w:lvlJc w:val="left"/>
      <w:pPr>
        <w:tabs>
          <w:tab w:val="num" w:pos="360"/>
        </w:tabs>
        <w:ind w:left="360" w:hanging="360"/>
      </w:pPr>
      <w:rPr>
        <w:rFonts w:ascii="Symbol" w:hAnsi="Symbol" w:hint="default"/>
      </w:rPr>
    </w:lvl>
    <w:lvl w:ilvl="1" w:tplc="4106E5DE">
      <w:start w:val="1"/>
      <w:numFmt w:val="decimal"/>
      <w:lvlText w:val="%2. "/>
      <w:lvlJc w:val="left"/>
      <w:pPr>
        <w:tabs>
          <w:tab w:val="num" w:pos="1287"/>
        </w:tabs>
        <w:ind w:left="1287" w:hanging="567"/>
      </w:pPr>
      <w:rPr>
        <w:rFonts w:ascii="Arial" w:hAnsi="Arial" w:cs="Times New Roman" w:hint="default"/>
        <w:b w:val="0"/>
        <w:i w:val="0"/>
        <w:sz w:val="20"/>
        <w:u w:val="none"/>
      </w:rPr>
    </w:lvl>
    <w:lvl w:ilvl="2" w:tplc="0C0A0001">
      <w:start w:val="1"/>
      <w:numFmt w:val="bullet"/>
      <w:lvlText w:val=""/>
      <w:lvlJc w:val="left"/>
      <w:pPr>
        <w:tabs>
          <w:tab w:val="num" w:pos="1800"/>
        </w:tabs>
        <w:ind w:left="1800" w:hanging="360"/>
      </w:pPr>
      <w:rPr>
        <w:rFonts w:ascii="Symbol" w:hAnsi="Symbol" w:hint="default"/>
      </w:rPr>
    </w:lvl>
    <w:lvl w:ilvl="3" w:tplc="99DC3574">
      <w:start w:val="1"/>
      <w:numFmt w:val="lowerLetter"/>
      <w:lvlText w:val="%4)"/>
      <w:lvlJc w:val="left"/>
      <w:pPr>
        <w:ind w:left="2520" w:hanging="360"/>
      </w:pPr>
      <w:rPr>
        <w:rFonts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0">
    <w:nsid w:val="4B3566D8"/>
    <w:multiLevelType w:val="hybridMultilevel"/>
    <w:tmpl w:val="90E2AB2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4D6974AD"/>
    <w:multiLevelType w:val="hybridMultilevel"/>
    <w:tmpl w:val="D6E231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51451824"/>
    <w:multiLevelType w:val="hybridMultilevel"/>
    <w:tmpl w:val="390836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514E553F"/>
    <w:multiLevelType w:val="hybridMultilevel"/>
    <w:tmpl w:val="BD260198"/>
    <w:lvl w:ilvl="0" w:tplc="FFFFFFFF">
      <w:start w:val="1"/>
      <w:numFmt w:val="bullet"/>
      <w:lvlText w:val=""/>
      <w:lvlJc w:val="left"/>
      <w:pPr>
        <w:tabs>
          <w:tab w:val="num" w:pos="360"/>
        </w:tabs>
        <w:ind w:left="360" w:hanging="360"/>
      </w:pPr>
      <w:rPr>
        <w:rFonts w:ascii="Symbol" w:hAnsi="Symbol" w:hint="default"/>
      </w:rPr>
    </w:lvl>
    <w:lvl w:ilvl="1" w:tplc="0C0A0001">
      <w:start w:val="1"/>
      <w:numFmt w:val="bullet"/>
      <w:lvlText w:val=""/>
      <w:lvlJc w:val="left"/>
      <w:pPr>
        <w:tabs>
          <w:tab w:val="num" w:pos="0"/>
        </w:tabs>
        <w:ind w:hanging="360"/>
      </w:pPr>
      <w:rPr>
        <w:rFonts w:ascii="Symbol" w:hAnsi="Symbol" w:hint="default"/>
      </w:rPr>
    </w:lvl>
    <w:lvl w:ilvl="2" w:tplc="FFFFFFFF" w:tentative="1">
      <w:start w:val="1"/>
      <w:numFmt w:val="bullet"/>
      <w:lvlText w:val=""/>
      <w:lvlJc w:val="left"/>
      <w:pPr>
        <w:tabs>
          <w:tab w:val="num" w:pos="720"/>
        </w:tabs>
        <w:ind w:left="720" w:hanging="360"/>
      </w:pPr>
      <w:rPr>
        <w:rFonts w:ascii="Wingdings" w:hAnsi="Wingdings" w:hint="default"/>
      </w:rPr>
    </w:lvl>
    <w:lvl w:ilvl="3" w:tplc="FFFFFFFF" w:tentative="1">
      <w:start w:val="1"/>
      <w:numFmt w:val="bullet"/>
      <w:lvlText w:val=""/>
      <w:lvlJc w:val="left"/>
      <w:pPr>
        <w:tabs>
          <w:tab w:val="num" w:pos="1440"/>
        </w:tabs>
        <w:ind w:left="1440" w:hanging="360"/>
      </w:pPr>
      <w:rPr>
        <w:rFonts w:ascii="Symbol" w:hAnsi="Symbol" w:hint="default"/>
      </w:rPr>
    </w:lvl>
    <w:lvl w:ilvl="4" w:tplc="FFFFFFFF" w:tentative="1">
      <w:start w:val="1"/>
      <w:numFmt w:val="bullet"/>
      <w:lvlText w:val="o"/>
      <w:lvlJc w:val="left"/>
      <w:pPr>
        <w:tabs>
          <w:tab w:val="num" w:pos="2160"/>
        </w:tabs>
        <w:ind w:left="2160" w:hanging="360"/>
      </w:pPr>
      <w:rPr>
        <w:rFonts w:ascii="Courier New" w:hAnsi="Courier New" w:hint="default"/>
      </w:rPr>
    </w:lvl>
    <w:lvl w:ilvl="5" w:tplc="FFFFFFFF" w:tentative="1">
      <w:start w:val="1"/>
      <w:numFmt w:val="bullet"/>
      <w:lvlText w:val=""/>
      <w:lvlJc w:val="left"/>
      <w:pPr>
        <w:tabs>
          <w:tab w:val="num" w:pos="2880"/>
        </w:tabs>
        <w:ind w:left="2880" w:hanging="360"/>
      </w:pPr>
      <w:rPr>
        <w:rFonts w:ascii="Wingdings" w:hAnsi="Wingdings" w:hint="default"/>
      </w:rPr>
    </w:lvl>
    <w:lvl w:ilvl="6" w:tplc="FFFFFFFF" w:tentative="1">
      <w:start w:val="1"/>
      <w:numFmt w:val="bullet"/>
      <w:lvlText w:val=""/>
      <w:lvlJc w:val="left"/>
      <w:pPr>
        <w:tabs>
          <w:tab w:val="num" w:pos="3600"/>
        </w:tabs>
        <w:ind w:left="3600" w:hanging="360"/>
      </w:pPr>
      <w:rPr>
        <w:rFonts w:ascii="Symbol" w:hAnsi="Symbol" w:hint="default"/>
      </w:rPr>
    </w:lvl>
    <w:lvl w:ilvl="7" w:tplc="FFFFFFFF" w:tentative="1">
      <w:start w:val="1"/>
      <w:numFmt w:val="bullet"/>
      <w:lvlText w:val="o"/>
      <w:lvlJc w:val="left"/>
      <w:pPr>
        <w:tabs>
          <w:tab w:val="num" w:pos="4320"/>
        </w:tabs>
        <w:ind w:left="4320" w:hanging="360"/>
      </w:pPr>
      <w:rPr>
        <w:rFonts w:ascii="Courier New" w:hAnsi="Courier New" w:hint="default"/>
      </w:rPr>
    </w:lvl>
    <w:lvl w:ilvl="8" w:tplc="FFFFFFFF" w:tentative="1">
      <w:start w:val="1"/>
      <w:numFmt w:val="bullet"/>
      <w:lvlText w:val=""/>
      <w:lvlJc w:val="left"/>
      <w:pPr>
        <w:tabs>
          <w:tab w:val="num" w:pos="5040"/>
        </w:tabs>
        <w:ind w:left="5040" w:hanging="360"/>
      </w:pPr>
      <w:rPr>
        <w:rFonts w:ascii="Wingdings" w:hAnsi="Wingdings" w:hint="default"/>
      </w:rPr>
    </w:lvl>
  </w:abstractNum>
  <w:abstractNum w:abstractNumId="34">
    <w:nsid w:val="53441C80"/>
    <w:multiLevelType w:val="hybridMultilevel"/>
    <w:tmpl w:val="1B1456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77A1DF7"/>
    <w:multiLevelType w:val="hybridMultilevel"/>
    <w:tmpl w:val="85F800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577F759E"/>
    <w:multiLevelType w:val="hybridMultilevel"/>
    <w:tmpl w:val="EFB807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58A20137"/>
    <w:multiLevelType w:val="hybridMultilevel"/>
    <w:tmpl w:val="A540F0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5D44560A"/>
    <w:multiLevelType w:val="hybridMultilevel"/>
    <w:tmpl w:val="43C2F868"/>
    <w:lvl w:ilvl="0" w:tplc="0C0A0005">
      <w:start w:val="1"/>
      <w:numFmt w:val="bullet"/>
      <w:lvlText w:val=""/>
      <w:lvlJc w:val="left"/>
      <w:pPr>
        <w:ind w:left="720" w:hanging="360"/>
      </w:pPr>
      <w:rPr>
        <w:rFonts w:ascii="Wingdings" w:hAnsi="Wingdings" w:hint="default"/>
      </w:rPr>
    </w:lvl>
    <w:lvl w:ilvl="1" w:tplc="3980492C">
      <w:numFmt w:val="bullet"/>
      <w:lvlText w:val="•"/>
      <w:lvlJc w:val="left"/>
      <w:pPr>
        <w:ind w:left="1440" w:hanging="360"/>
      </w:pPr>
      <w:rPr>
        <w:rFonts w:ascii="Arial Narrow" w:eastAsia="Calibri" w:hAnsi="Arial Narrow"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5E2452A2"/>
    <w:multiLevelType w:val="hybridMultilevel"/>
    <w:tmpl w:val="AB7E80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62A52F86"/>
    <w:multiLevelType w:val="hybridMultilevel"/>
    <w:tmpl w:val="E892EA6C"/>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nsid w:val="64043C4B"/>
    <w:multiLevelType w:val="hybridMultilevel"/>
    <w:tmpl w:val="56AA4B5C"/>
    <w:lvl w:ilvl="0" w:tplc="CA105BC6">
      <w:start w:val="1"/>
      <w:numFmt w:val="decimal"/>
      <w:lvlText w:val="%1."/>
      <w:lvlJc w:val="left"/>
      <w:pPr>
        <w:ind w:left="360" w:hanging="360"/>
      </w:pPr>
      <w:rPr>
        <w:rFonts w:ascii="Arial Narrow" w:hAnsi="Arial Narrow" w:cs="Arial" w:hint="default"/>
        <w:b w:val="0"/>
        <w:i w:val="0"/>
        <w:sz w:val="16"/>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nsid w:val="6B0748E3"/>
    <w:multiLevelType w:val="hybridMultilevel"/>
    <w:tmpl w:val="C68A31F8"/>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nsid w:val="71436B7A"/>
    <w:multiLevelType w:val="hybridMultilevel"/>
    <w:tmpl w:val="9B5A5A3A"/>
    <w:lvl w:ilvl="0" w:tplc="0C0A0001">
      <w:start w:val="1"/>
      <w:numFmt w:val="bullet"/>
      <w:lvlText w:val=""/>
      <w:lvlJc w:val="left"/>
      <w:pPr>
        <w:ind w:left="663" w:hanging="360"/>
      </w:pPr>
      <w:rPr>
        <w:rFonts w:ascii="Symbol" w:hAnsi="Symbol" w:hint="default"/>
      </w:rPr>
    </w:lvl>
    <w:lvl w:ilvl="1" w:tplc="9368824E">
      <w:numFmt w:val="bullet"/>
      <w:lvlText w:val="•"/>
      <w:lvlJc w:val="left"/>
      <w:pPr>
        <w:ind w:left="1383" w:hanging="360"/>
      </w:pPr>
      <w:rPr>
        <w:rFonts w:ascii="Calibri" w:eastAsia="Times New Roman" w:hAnsi="Calibri" w:cs="Calibri" w:hint="default"/>
      </w:rPr>
    </w:lvl>
    <w:lvl w:ilvl="2" w:tplc="0C0A0005" w:tentative="1">
      <w:start w:val="1"/>
      <w:numFmt w:val="bullet"/>
      <w:lvlText w:val=""/>
      <w:lvlJc w:val="left"/>
      <w:pPr>
        <w:ind w:left="2103" w:hanging="360"/>
      </w:pPr>
      <w:rPr>
        <w:rFonts w:ascii="Wingdings" w:hAnsi="Wingdings" w:hint="default"/>
      </w:rPr>
    </w:lvl>
    <w:lvl w:ilvl="3" w:tplc="0C0A0001" w:tentative="1">
      <w:start w:val="1"/>
      <w:numFmt w:val="bullet"/>
      <w:lvlText w:val=""/>
      <w:lvlJc w:val="left"/>
      <w:pPr>
        <w:ind w:left="2823" w:hanging="360"/>
      </w:pPr>
      <w:rPr>
        <w:rFonts w:ascii="Symbol" w:hAnsi="Symbol" w:hint="default"/>
      </w:rPr>
    </w:lvl>
    <w:lvl w:ilvl="4" w:tplc="0C0A0003" w:tentative="1">
      <w:start w:val="1"/>
      <w:numFmt w:val="bullet"/>
      <w:lvlText w:val="o"/>
      <w:lvlJc w:val="left"/>
      <w:pPr>
        <w:ind w:left="3543" w:hanging="360"/>
      </w:pPr>
      <w:rPr>
        <w:rFonts w:ascii="Courier New" w:hAnsi="Courier New" w:cs="Courier New" w:hint="default"/>
      </w:rPr>
    </w:lvl>
    <w:lvl w:ilvl="5" w:tplc="0C0A0005" w:tentative="1">
      <w:start w:val="1"/>
      <w:numFmt w:val="bullet"/>
      <w:lvlText w:val=""/>
      <w:lvlJc w:val="left"/>
      <w:pPr>
        <w:ind w:left="4263" w:hanging="360"/>
      </w:pPr>
      <w:rPr>
        <w:rFonts w:ascii="Wingdings" w:hAnsi="Wingdings" w:hint="default"/>
      </w:rPr>
    </w:lvl>
    <w:lvl w:ilvl="6" w:tplc="0C0A0001" w:tentative="1">
      <w:start w:val="1"/>
      <w:numFmt w:val="bullet"/>
      <w:lvlText w:val=""/>
      <w:lvlJc w:val="left"/>
      <w:pPr>
        <w:ind w:left="4983" w:hanging="360"/>
      </w:pPr>
      <w:rPr>
        <w:rFonts w:ascii="Symbol" w:hAnsi="Symbol" w:hint="default"/>
      </w:rPr>
    </w:lvl>
    <w:lvl w:ilvl="7" w:tplc="0C0A0003" w:tentative="1">
      <w:start w:val="1"/>
      <w:numFmt w:val="bullet"/>
      <w:lvlText w:val="o"/>
      <w:lvlJc w:val="left"/>
      <w:pPr>
        <w:ind w:left="5703" w:hanging="360"/>
      </w:pPr>
      <w:rPr>
        <w:rFonts w:ascii="Courier New" w:hAnsi="Courier New" w:cs="Courier New" w:hint="default"/>
      </w:rPr>
    </w:lvl>
    <w:lvl w:ilvl="8" w:tplc="0C0A0005" w:tentative="1">
      <w:start w:val="1"/>
      <w:numFmt w:val="bullet"/>
      <w:lvlText w:val=""/>
      <w:lvlJc w:val="left"/>
      <w:pPr>
        <w:ind w:left="6423" w:hanging="360"/>
      </w:pPr>
      <w:rPr>
        <w:rFonts w:ascii="Wingdings" w:hAnsi="Wingdings" w:hint="default"/>
      </w:rPr>
    </w:lvl>
  </w:abstractNum>
  <w:abstractNum w:abstractNumId="44">
    <w:nsid w:val="78646C52"/>
    <w:multiLevelType w:val="hybridMultilevel"/>
    <w:tmpl w:val="898C555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nsid w:val="792F5ADD"/>
    <w:multiLevelType w:val="hybridMultilevel"/>
    <w:tmpl w:val="328EE94C"/>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nsid w:val="7C790DCD"/>
    <w:multiLevelType w:val="hybridMultilevel"/>
    <w:tmpl w:val="39C826C0"/>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nsid w:val="7CCC7695"/>
    <w:multiLevelType w:val="hybridMultilevel"/>
    <w:tmpl w:val="F1EEB7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7FA76E62"/>
    <w:multiLevelType w:val="hybridMultilevel"/>
    <w:tmpl w:val="E0D0217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1"/>
  </w:num>
  <w:num w:numId="2">
    <w:abstractNumId w:val="41"/>
  </w:num>
  <w:num w:numId="3">
    <w:abstractNumId w:val="3"/>
  </w:num>
  <w:num w:numId="4">
    <w:abstractNumId w:val="33"/>
  </w:num>
  <w:num w:numId="5">
    <w:abstractNumId w:val="29"/>
  </w:num>
  <w:num w:numId="6">
    <w:abstractNumId w:val="20"/>
  </w:num>
  <w:num w:numId="7">
    <w:abstractNumId w:val="26"/>
  </w:num>
  <w:num w:numId="8">
    <w:abstractNumId w:val="38"/>
  </w:num>
  <w:num w:numId="9">
    <w:abstractNumId w:val="8"/>
  </w:num>
  <w:num w:numId="10">
    <w:abstractNumId w:val="24"/>
  </w:num>
  <w:num w:numId="11">
    <w:abstractNumId w:val="43"/>
  </w:num>
  <w:num w:numId="12">
    <w:abstractNumId w:val="0"/>
  </w:num>
  <w:num w:numId="13">
    <w:abstractNumId w:val="32"/>
  </w:num>
  <w:num w:numId="14">
    <w:abstractNumId w:val="17"/>
  </w:num>
  <w:num w:numId="15">
    <w:abstractNumId w:val="35"/>
  </w:num>
  <w:num w:numId="16">
    <w:abstractNumId w:val="39"/>
  </w:num>
  <w:num w:numId="17">
    <w:abstractNumId w:val="22"/>
  </w:num>
  <w:num w:numId="18">
    <w:abstractNumId w:val="25"/>
  </w:num>
  <w:num w:numId="19">
    <w:abstractNumId w:val="19"/>
  </w:num>
  <w:num w:numId="20">
    <w:abstractNumId w:val="1"/>
  </w:num>
  <w:num w:numId="21">
    <w:abstractNumId w:val="45"/>
  </w:num>
  <w:num w:numId="22">
    <w:abstractNumId w:val="48"/>
  </w:num>
  <w:num w:numId="23">
    <w:abstractNumId w:val="7"/>
  </w:num>
  <w:num w:numId="24">
    <w:abstractNumId w:val="42"/>
  </w:num>
  <w:num w:numId="25">
    <w:abstractNumId w:val="14"/>
  </w:num>
  <w:num w:numId="26">
    <w:abstractNumId w:val="46"/>
  </w:num>
  <w:num w:numId="27">
    <w:abstractNumId w:val="6"/>
  </w:num>
  <w:num w:numId="28">
    <w:abstractNumId w:val="31"/>
  </w:num>
  <w:num w:numId="29">
    <w:abstractNumId w:val="2"/>
  </w:num>
  <w:num w:numId="30">
    <w:abstractNumId w:val="37"/>
  </w:num>
  <w:num w:numId="31">
    <w:abstractNumId w:val="44"/>
  </w:num>
  <w:num w:numId="32">
    <w:abstractNumId w:val="10"/>
  </w:num>
  <w:num w:numId="33">
    <w:abstractNumId w:val="9"/>
  </w:num>
  <w:num w:numId="34">
    <w:abstractNumId w:val="47"/>
  </w:num>
  <w:num w:numId="35">
    <w:abstractNumId w:val="12"/>
  </w:num>
  <w:num w:numId="36">
    <w:abstractNumId w:val="11"/>
  </w:num>
  <w:num w:numId="37">
    <w:abstractNumId w:val="15"/>
  </w:num>
  <w:num w:numId="38">
    <w:abstractNumId w:val="36"/>
  </w:num>
  <w:num w:numId="39">
    <w:abstractNumId w:val="40"/>
  </w:num>
  <w:num w:numId="40">
    <w:abstractNumId w:val="28"/>
  </w:num>
  <w:num w:numId="41">
    <w:abstractNumId w:val="27"/>
  </w:num>
  <w:num w:numId="42">
    <w:abstractNumId w:val="4"/>
  </w:num>
  <w:num w:numId="43">
    <w:abstractNumId w:val="16"/>
  </w:num>
  <w:num w:numId="44">
    <w:abstractNumId w:val="13"/>
  </w:num>
  <w:num w:numId="45">
    <w:abstractNumId w:val="34"/>
  </w:num>
  <w:num w:numId="46">
    <w:abstractNumId w:val="18"/>
  </w:num>
  <w:num w:numId="47">
    <w:abstractNumId w:val="23"/>
  </w:num>
  <w:num w:numId="48">
    <w:abstractNumId w:val="5"/>
  </w:num>
  <w:num w:numId="49">
    <w:abstractNumId w:val="3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hideSpellingErrors/>
  <w:hideGrammaticalErrors/>
  <w:activeWritingStyle w:appName="MSWord" w:lang="pt-BR" w:vendorID="64" w:dllVersion="6" w:nlCheck="1" w:checkStyle="0"/>
  <w:activeWritingStyle w:appName="MSWord" w:lang="en-GB" w:vendorID="64" w:dllVersion="6" w:nlCheck="1" w:checkStyle="1"/>
  <w:activeWritingStyle w:appName="MSWord" w:lang="es-ES" w:vendorID="64" w:dllVersion="6" w:nlCheck="1" w:checkStyle="0"/>
  <w:activeWritingStyle w:appName="MSWord" w:lang="en-US" w:vendorID="64" w:dllVersion="6" w:nlCheck="1" w:checkStyle="0"/>
  <w:activeWritingStyle w:appName="MSWord" w:lang="es-MX" w:vendorID="64" w:dllVersion="6" w:nlCheck="1" w:checkStyle="0"/>
  <w:activeWritingStyle w:appName="MSWord" w:lang="es-CO" w:vendorID="64" w:dllVersion="6" w:nlCheck="1" w:checkStyle="0"/>
  <w:activeWritingStyle w:appName="MSWord" w:lang="es-ES_tradnl" w:vendorID="64" w:dllVersion="6" w:nlCheck="1" w:checkStyle="0"/>
  <w:activeWritingStyle w:appName="MSWord" w:lang="es-AR" w:vendorID="64" w:dllVersion="6" w:nlCheck="1" w:checkStyle="1"/>
  <w:activeWritingStyle w:appName="MSWord" w:lang="es-CO"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20"/>
  <w:displayHorizontalDrawingGridEvery w:val="2"/>
  <w:displayVerticalDrawingGridEvery w:val="2"/>
  <w:characterSpacingControl w:val="doNotCompress"/>
  <w:hdrShapeDefaults>
    <o:shapedefaults v:ext="edit" spidmax="2049" fillcolor="#963">
      <v:fill color="#963"/>
      <v:stroke weight=".25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DA0"/>
    <w:rsid w:val="000001CD"/>
    <w:rsid w:val="00000627"/>
    <w:rsid w:val="00000C57"/>
    <w:rsid w:val="00000CDE"/>
    <w:rsid w:val="00001243"/>
    <w:rsid w:val="00001CE7"/>
    <w:rsid w:val="00001D80"/>
    <w:rsid w:val="00001DC9"/>
    <w:rsid w:val="00002875"/>
    <w:rsid w:val="000036B4"/>
    <w:rsid w:val="00003E28"/>
    <w:rsid w:val="00004442"/>
    <w:rsid w:val="000048A9"/>
    <w:rsid w:val="00004F65"/>
    <w:rsid w:val="0000551F"/>
    <w:rsid w:val="00005E3D"/>
    <w:rsid w:val="00005F37"/>
    <w:rsid w:val="00006652"/>
    <w:rsid w:val="00007596"/>
    <w:rsid w:val="00007D7A"/>
    <w:rsid w:val="00011A9B"/>
    <w:rsid w:val="00011C48"/>
    <w:rsid w:val="00011D6B"/>
    <w:rsid w:val="00012721"/>
    <w:rsid w:val="000127D1"/>
    <w:rsid w:val="000129A2"/>
    <w:rsid w:val="000134F2"/>
    <w:rsid w:val="000135ED"/>
    <w:rsid w:val="00013A3E"/>
    <w:rsid w:val="00013CC9"/>
    <w:rsid w:val="00013EFD"/>
    <w:rsid w:val="00013F0F"/>
    <w:rsid w:val="000143AA"/>
    <w:rsid w:val="00014FE7"/>
    <w:rsid w:val="00015253"/>
    <w:rsid w:val="00016180"/>
    <w:rsid w:val="000200EE"/>
    <w:rsid w:val="00020223"/>
    <w:rsid w:val="00020394"/>
    <w:rsid w:val="000210EF"/>
    <w:rsid w:val="00021549"/>
    <w:rsid w:val="000219A2"/>
    <w:rsid w:val="00021D15"/>
    <w:rsid w:val="000221DE"/>
    <w:rsid w:val="000224E5"/>
    <w:rsid w:val="000226F0"/>
    <w:rsid w:val="00023961"/>
    <w:rsid w:val="00023A39"/>
    <w:rsid w:val="00023A5D"/>
    <w:rsid w:val="00023D61"/>
    <w:rsid w:val="0002426C"/>
    <w:rsid w:val="00024AF3"/>
    <w:rsid w:val="000252D0"/>
    <w:rsid w:val="0002548D"/>
    <w:rsid w:val="00025991"/>
    <w:rsid w:val="00025EC7"/>
    <w:rsid w:val="00027278"/>
    <w:rsid w:val="00027985"/>
    <w:rsid w:val="00030401"/>
    <w:rsid w:val="00030895"/>
    <w:rsid w:val="0003121D"/>
    <w:rsid w:val="0003145D"/>
    <w:rsid w:val="0003213A"/>
    <w:rsid w:val="00032424"/>
    <w:rsid w:val="0003328F"/>
    <w:rsid w:val="00033660"/>
    <w:rsid w:val="00033699"/>
    <w:rsid w:val="00033E02"/>
    <w:rsid w:val="00034572"/>
    <w:rsid w:val="00034715"/>
    <w:rsid w:val="00034F3B"/>
    <w:rsid w:val="00034F7C"/>
    <w:rsid w:val="000350E7"/>
    <w:rsid w:val="000369A8"/>
    <w:rsid w:val="00036F21"/>
    <w:rsid w:val="000374A0"/>
    <w:rsid w:val="00037F72"/>
    <w:rsid w:val="00040062"/>
    <w:rsid w:val="0004034A"/>
    <w:rsid w:val="00040C88"/>
    <w:rsid w:val="00041794"/>
    <w:rsid w:val="00042399"/>
    <w:rsid w:val="0004253D"/>
    <w:rsid w:val="000429AE"/>
    <w:rsid w:val="00042E6F"/>
    <w:rsid w:val="0004335F"/>
    <w:rsid w:val="00043C7C"/>
    <w:rsid w:val="00043CD1"/>
    <w:rsid w:val="0004504D"/>
    <w:rsid w:val="00045092"/>
    <w:rsid w:val="0004525B"/>
    <w:rsid w:val="00045306"/>
    <w:rsid w:val="000453EA"/>
    <w:rsid w:val="00046A59"/>
    <w:rsid w:val="00046E3F"/>
    <w:rsid w:val="000470AF"/>
    <w:rsid w:val="000471A8"/>
    <w:rsid w:val="00047300"/>
    <w:rsid w:val="00047DF5"/>
    <w:rsid w:val="00050171"/>
    <w:rsid w:val="00050797"/>
    <w:rsid w:val="00050E09"/>
    <w:rsid w:val="00050EFA"/>
    <w:rsid w:val="000514A3"/>
    <w:rsid w:val="00052030"/>
    <w:rsid w:val="00052066"/>
    <w:rsid w:val="0005211B"/>
    <w:rsid w:val="00052210"/>
    <w:rsid w:val="0005276D"/>
    <w:rsid w:val="000532A4"/>
    <w:rsid w:val="00053DCB"/>
    <w:rsid w:val="00053FBD"/>
    <w:rsid w:val="00053FD0"/>
    <w:rsid w:val="000547CB"/>
    <w:rsid w:val="00055D8F"/>
    <w:rsid w:val="00056B01"/>
    <w:rsid w:val="00056B4F"/>
    <w:rsid w:val="000574CC"/>
    <w:rsid w:val="0005753E"/>
    <w:rsid w:val="0005756D"/>
    <w:rsid w:val="0005785E"/>
    <w:rsid w:val="000579B3"/>
    <w:rsid w:val="00057ACD"/>
    <w:rsid w:val="00060159"/>
    <w:rsid w:val="000601AA"/>
    <w:rsid w:val="000602F2"/>
    <w:rsid w:val="0006032F"/>
    <w:rsid w:val="00060696"/>
    <w:rsid w:val="00061383"/>
    <w:rsid w:val="00061637"/>
    <w:rsid w:val="00061842"/>
    <w:rsid w:val="00062880"/>
    <w:rsid w:val="00062F4D"/>
    <w:rsid w:val="00063294"/>
    <w:rsid w:val="00064E1A"/>
    <w:rsid w:val="000657B8"/>
    <w:rsid w:val="00065F1F"/>
    <w:rsid w:val="00066005"/>
    <w:rsid w:val="00066EF1"/>
    <w:rsid w:val="000672AF"/>
    <w:rsid w:val="00067A9F"/>
    <w:rsid w:val="00070029"/>
    <w:rsid w:val="000701EE"/>
    <w:rsid w:val="000707A2"/>
    <w:rsid w:val="00071DEE"/>
    <w:rsid w:val="0007225D"/>
    <w:rsid w:val="000728B8"/>
    <w:rsid w:val="00072D5A"/>
    <w:rsid w:val="00073546"/>
    <w:rsid w:val="00073CC6"/>
    <w:rsid w:val="00073D18"/>
    <w:rsid w:val="00074A1E"/>
    <w:rsid w:val="00074CCC"/>
    <w:rsid w:val="0007505F"/>
    <w:rsid w:val="00075538"/>
    <w:rsid w:val="00075C85"/>
    <w:rsid w:val="0007604E"/>
    <w:rsid w:val="00076451"/>
    <w:rsid w:val="00076554"/>
    <w:rsid w:val="0007679E"/>
    <w:rsid w:val="00076A2A"/>
    <w:rsid w:val="00077249"/>
    <w:rsid w:val="00077524"/>
    <w:rsid w:val="00077AFC"/>
    <w:rsid w:val="0008077D"/>
    <w:rsid w:val="00081398"/>
    <w:rsid w:val="0008185D"/>
    <w:rsid w:val="00081DE8"/>
    <w:rsid w:val="000824F0"/>
    <w:rsid w:val="00082E6A"/>
    <w:rsid w:val="00083569"/>
    <w:rsid w:val="000835D8"/>
    <w:rsid w:val="000837EA"/>
    <w:rsid w:val="00083965"/>
    <w:rsid w:val="00083A8B"/>
    <w:rsid w:val="00083B0F"/>
    <w:rsid w:val="00083C75"/>
    <w:rsid w:val="00083D13"/>
    <w:rsid w:val="000844F7"/>
    <w:rsid w:val="000849BA"/>
    <w:rsid w:val="00084B84"/>
    <w:rsid w:val="00084DF9"/>
    <w:rsid w:val="0008565B"/>
    <w:rsid w:val="000868D4"/>
    <w:rsid w:val="00086E02"/>
    <w:rsid w:val="000877E7"/>
    <w:rsid w:val="0009025D"/>
    <w:rsid w:val="000904B9"/>
    <w:rsid w:val="00090640"/>
    <w:rsid w:val="00092202"/>
    <w:rsid w:val="00093705"/>
    <w:rsid w:val="00093B08"/>
    <w:rsid w:val="00093FE4"/>
    <w:rsid w:val="000949CE"/>
    <w:rsid w:val="00095F04"/>
    <w:rsid w:val="000961B3"/>
    <w:rsid w:val="00096632"/>
    <w:rsid w:val="0009678A"/>
    <w:rsid w:val="00096971"/>
    <w:rsid w:val="00096B73"/>
    <w:rsid w:val="000A02BF"/>
    <w:rsid w:val="000A099C"/>
    <w:rsid w:val="000A0A6E"/>
    <w:rsid w:val="000A0BDC"/>
    <w:rsid w:val="000A2E02"/>
    <w:rsid w:val="000A2F22"/>
    <w:rsid w:val="000A2F35"/>
    <w:rsid w:val="000A38FB"/>
    <w:rsid w:val="000A3AEE"/>
    <w:rsid w:val="000A3DB1"/>
    <w:rsid w:val="000A4541"/>
    <w:rsid w:val="000A4BA0"/>
    <w:rsid w:val="000A5457"/>
    <w:rsid w:val="000A5864"/>
    <w:rsid w:val="000A5A4C"/>
    <w:rsid w:val="000A5D8A"/>
    <w:rsid w:val="000A6151"/>
    <w:rsid w:val="000A651B"/>
    <w:rsid w:val="000A660E"/>
    <w:rsid w:val="000A731E"/>
    <w:rsid w:val="000A7467"/>
    <w:rsid w:val="000A7481"/>
    <w:rsid w:val="000A7D3F"/>
    <w:rsid w:val="000B0A2E"/>
    <w:rsid w:val="000B0F1E"/>
    <w:rsid w:val="000B158E"/>
    <w:rsid w:val="000B1D64"/>
    <w:rsid w:val="000B1DA1"/>
    <w:rsid w:val="000B202B"/>
    <w:rsid w:val="000B2680"/>
    <w:rsid w:val="000B297A"/>
    <w:rsid w:val="000B310B"/>
    <w:rsid w:val="000B33F2"/>
    <w:rsid w:val="000B37FB"/>
    <w:rsid w:val="000B3FDB"/>
    <w:rsid w:val="000B4074"/>
    <w:rsid w:val="000B4233"/>
    <w:rsid w:val="000B4D05"/>
    <w:rsid w:val="000B4D9B"/>
    <w:rsid w:val="000B51B4"/>
    <w:rsid w:val="000B547F"/>
    <w:rsid w:val="000B5486"/>
    <w:rsid w:val="000B5599"/>
    <w:rsid w:val="000B56E1"/>
    <w:rsid w:val="000B5861"/>
    <w:rsid w:val="000B5D1F"/>
    <w:rsid w:val="000B5D2E"/>
    <w:rsid w:val="000B6576"/>
    <w:rsid w:val="000B66E3"/>
    <w:rsid w:val="000B7731"/>
    <w:rsid w:val="000B794E"/>
    <w:rsid w:val="000C000B"/>
    <w:rsid w:val="000C1C5B"/>
    <w:rsid w:val="000C1D87"/>
    <w:rsid w:val="000C2599"/>
    <w:rsid w:val="000C2637"/>
    <w:rsid w:val="000C3023"/>
    <w:rsid w:val="000C3339"/>
    <w:rsid w:val="000C3CE0"/>
    <w:rsid w:val="000C46EC"/>
    <w:rsid w:val="000C47F3"/>
    <w:rsid w:val="000C48D7"/>
    <w:rsid w:val="000C4ABA"/>
    <w:rsid w:val="000C6236"/>
    <w:rsid w:val="000C6832"/>
    <w:rsid w:val="000D0D0C"/>
    <w:rsid w:val="000D0D89"/>
    <w:rsid w:val="000D1BA6"/>
    <w:rsid w:val="000D1F23"/>
    <w:rsid w:val="000D24D1"/>
    <w:rsid w:val="000D299A"/>
    <w:rsid w:val="000D3320"/>
    <w:rsid w:val="000D349C"/>
    <w:rsid w:val="000D42CC"/>
    <w:rsid w:val="000D4741"/>
    <w:rsid w:val="000D4751"/>
    <w:rsid w:val="000D478E"/>
    <w:rsid w:val="000D4E89"/>
    <w:rsid w:val="000D5113"/>
    <w:rsid w:val="000D590A"/>
    <w:rsid w:val="000D62E9"/>
    <w:rsid w:val="000D75C4"/>
    <w:rsid w:val="000D7768"/>
    <w:rsid w:val="000D7B5B"/>
    <w:rsid w:val="000E00C7"/>
    <w:rsid w:val="000E028C"/>
    <w:rsid w:val="000E176C"/>
    <w:rsid w:val="000E2320"/>
    <w:rsid w:val="000E29AE"/>
    <w:rsid w:val="000E3AB9"/>
    <w:rsid w:val="000E3DBD"/>
    <w:rsid w:val="000E434D"/>
    <w:rsid w:val="000E4A23"/>
    <w:rsid w:val="000E4BF3"/>
    <w:rsid w:val="000E4C3F"/>
    <w:rsid w:val="000E6A4F"/>
    <w:rsid w:val="000E6AD4"/>
    <w:rsid w:val="000E6DC6"/>
    <w:rsid w:val="000E6E10"/>
    <w:rsid w:val="000E7101"/>
    <w:rsid w:val="000E73C8"/>
    <w:rsid w:val="000E7782"/>
    <w:rsid w:val="000F0045"/>
    <w:rsid w:val="000F021F"/>
    <w:rsid w:val="000F047A"/>
    <w:rsid w:val="000F08D2"/>
    <w:rsid w:val="000F0966"/>
    <w:rsid w:val="000F0B5D"/>
    <w:rsid w:val="000F122F"/>
    <w:rsid w:val="000F2365"/>
    <w:rsid w:val="000F28E4"/>
    <w:rsid w:val="000F2AD8"/>
    <w:rsid w:val="000F3070"/>
    <w:rsid w:val="000F315D"/>
    <w:rsid w:val="000F4278"/>
    <w:rsid w:val="000F598C"/>
    <w:rsid w:val="000F6965"/>
    <w:rsid w:val="000F6B86"/>
    <w:rsid w:val="000F7733"/>
    <w:rsid w:val="00100168"/>
    <w:rsid w:val="001005AD"/>
    <w:rsid w:val="00100617"/>
    <w:rsid w:val="00100E2B"/>
    <w:rsid w:val="00101F4F"/>
    <w:rsid w:val="00102107"/>
    <w:rsid w:val="001021FA"/>
    <w:rsid w:val="0010229E"/>
    <w:rsid w:val="00102484"/>
    <w:rsid w:val="00102A7C"/>
    <w:rsid w:val="00102A8E"/>
    <w:rsid w:val="00103374"/>
    <w:rsid w:val="00104566"/>
    <w:rsid w:val="00104727"/>
    <w:rsid w:val="00104D1E"/>
    <w:rsid w:val="00104F90"/>
    <w:rsid w:val="001050AA"/>
    <w:rsid w:val="00105198"/>
    <w:rsid w:val="001056CA"/>
    <w:rsid w:val="001063C5"/>
    <w:rsid w:val="0010659F"/>
    <w:rsid w:val="0010687D"/>
    <w:rsid w:val="00106A25"/>
    <w:rsid w:val="00106F97"/>
    <w:rsid w:val="001074BD"/>
    <w:rsid w:val="001101B8"/>
    <w:rsid w:val="00110580"/>
    <w:rsid w:val="00110F79"/>
    <w:rsid w:val="001112B5"/>
    <w:rsid w:val="001116F5"/>
    <w:rsid w:val="00111A41"/>
    <w:rsid w:val="00111F91"/>
    <w:rsid w:val="00112AF4"/>
    <w:rsid w:val="0011358C"/>
    <w:rsid w:val="00113720"/>
    <w:rsid w:val="001138CC"/>
    <w:rsid w:val="001139E8"/>
    <w:rsid w:val="001143FB"/>
    <w:rsid w:val="0011475D"/>
    <w:rsid w:val="00114E30"/>
    <w:rsid w:val="00115030"/>
    <w:rsid w:val="00115835"/>
    <w:rsid w:val="00116779"/>
    <w:rsid w:val="00116845"/>
    <w:rsid w:val="00117649"/>
    <w:rsid w:val="001176D5"/>
    <w:rsid w:val="0011788C"/>
    <w:rsid w:val="00117E29"/>
    <w:rsid w:val="00120343"/>
    <w:rsid w:val="00120C3D"/>
    <w:rsid w:val="00120D7C"/>
    <w:rsid w:val="001214F7"/>
    <w:rsid w:val="00121F54"/>
    <w:rsid w:val="0012214B"/>
    <w:rsid w:val="00122C2C"/>
    <w:rsid w:val="00123099"/>
    <w:rsid w:val="00123137"/>
    <w:rsid w:val="0012425B"/>
    <w:rsid w:val="00124438"/>
    <w:rsid w:val="001248E3"/>
    <w:rsid w:val="001249BE"/>
    <w:rsid w:val="00124CBE"/>
    <w:rsid w:val="001254CE"/>
    <w:rsid w:val="00125854"/>
    <w:rsid w:val="00125DCE"/>
    <w:rsid w:val="00127358"/>
    <w:rsid w:val="001277E0"/>
    <w:rsid w:val="00130037"/>
    <w:rsid w:val="001301C0"/>
    <w:rsid w:val="00130D48"/>
    <w:rsid w:val="00130DB2"/>
    <w:rsid w:val="0013145D"/>
    <w:rsid w:val="001315CD"/>
    <w:rsid w:val="001315F9"/>
    <w:rsid w:val="001328F6"/>
    <w:rsid w:val="00132916"/>
    <w:rsid w:val="00132B9B"/>
    <w:rsid w:val="00132CD5"/>
    <w:rsid w:val="001332B2"/>
    <w:rsid w:val="001336D8"/>
    <w:rsid w:val="00133C77"/>
    <w:rsid w:val="00134145"/>
    <w:rsid w:val="00134397"/>
    <w:rsid w:val="001343CF"/>
    <w:rsid w:val="00134AE1"/>
    <w:rsid w:val="00134CBD"/>
    <w:rsid w:val="001353B7"/>
    <w:rsid w:val="0013560D"/>
    <w:rsid w:val="00135816"/>
    <w:rsid w:val="00135B17"/>
    <w:rsid w:val="00135DD1"/>
    <w:rsid w:val="00137609"/>
    <w:rsid w:val="00137D75"/>
    <w:rsid w:val="00140041"/>
    <w:rsid w:val="00140BED"/>
    <w:rsid w:val="00141A34"/>
    <w:rsid w:val="00141C6E"/>
    <w:rsid w:val="00141E75"/>
    <w:rsid w:val="001426FD"/>
    <w:rsid w:val="00143719"/>
    <w:rsid w:val="00143759"/>
    <w:rsid w:val="00143B70"/>
    <w:rsid w:val="00143F6F"/>
    <w:rsid w:val="0014402C"/>
    <w:rsid w:val="00144463"/>
    <w:rsid w:val="001448C4"/>
    <w:rsid w:val="001456C5"/>
    <w:rsid w:val="00145920"/>
    <w:rsid w:val="00146355"/>
    <w:rsid w:val="00146A3B"/>
    <w:rsid w:val="00146F07"/>
    <w:rsid w:val="0014735B"/>
    <w:rsid w:val="00147BA9"/>
    <w:rsid w:val="00147DF8"/>
    <w:rsid w:val="00147F95"/>
    <w:rsid w:val="001502AC"/>
    <w:rsid w:val="00150753"/>
    <w:rsid w:val="00150D82"/>
    <w:rsid w:val="00150E6D"/>
    <w:rsid w:val="001513F4"/>
    <w:rsid w:val="001516B2"/>
    <w:rsid w:val="00151753"/>
    <w:rsid w:val="00151912"/>
    <w:rsid w:val="001527E0"/>
    <w:rsid w:val="00152A1C"/>
    <w:rsid w:val="0015311E"/>
    <w:rsid w:val="001539C6"/>
    <w:rsid w:val="00154268"/>
    <w:rsid w:val="00154EBD"/>
    <w:rsid w:val="001556C5"/>
    <w:rsid w:val="00155BFF"/>
    <w:rsid w:val="00156391"/>
    <w:rsid w:val="00156E35"/>
    <w:rsid w:val="00157482"/>
    <w:rsid w:val="001578E6"/>
    <w:rsid w:val="00160533"/>
    <w:rsid w:val="001605DC"/>
    <w:rsid w:val="00161446"/>
    <w:rsid w:val="00161A63"/>
    <w:rsid w:val="001622F9"/>
    <w:rsid w:val="00163FCA"/>
    <w:rsid w:val="00164A0F"/>
    <w:rsid w:val="00164D57"/>
    <w:rsid w:val="0016575C"/>
    <w:rsid w:val="00165D60"/>
    <w:rsid w:val="00165F3C"/>
    <w:rsid w:val="00165F86"/>
    <w:rsid w:val="00166287"/>
    <w:rsid w:val="00166AF6"/>
    <w:rsid w:val="00167106"/>
    <w:rsid w:val="00167119"/>
    <w:rsid w:val="00167435"/>
    <w:rsid w:val="00167A6D"/>
    <w:rsid w:val="0017035C"/>
    <w:rsid w:val="0017068E"/>
    <w:rsid w:val="00170BD5"/>
    <w:rsid w:val="00171480"/>
    <w:rsid w:val="0017176A"/>
    <w:rsid w:val="00171FA3"/>
    <w:rsid w:val="001729FA"/>
    <w:rsid w:val="0017303A"/>
    <w:rsid w:val="0017379D"/>
    <w:rsid w:val="0017400A"/>
    <w:rsid w:val="0017413C"/>
    <w:rsid w:val="0017477A"/>
    <w:rsid w:val="00174AFB"/>
    <w:rsid w:val="00174B3A"/>
    <w:rsid w:val="00174CCD"/>
    <w:rsid w:val="00174D79"/>
    <w:rsid w:val="0017539C"/>
    <w:rsid w:val="0017583E"/>
    <w:rsid w:val="00175CC6"/>
    <w:rsid w:val="001775C7"/>
    <w:rsid w:val="001778E1"/>
    <w:rsid w:val="00177A8B"/>
    <w:rsid w:val="00180953"/>
    <w:rsid w:val="00181275"/>
    <w:rsid w:val="00181852"/>
    <w:rsid w:val="0018258E"/>
    <w:rsid w:val="00184095"/>
    <w:rsid w:val="001854A6"/>
    <w:rsid w:val="00186117"/>
    <w:rsid w:val="00186EF7"/>
    <w:rsid w:val="00187833"/>
    <w:rsid w:val="001903B4"/>
    <w:rsid w:val="0019148F"/>
    <w:rsid w:val="00191825"/>
    <w:rsid w:val="00191A05"/>
    <w:rsid w:val="0019204D"/>
    <w:rsid w:val="00192994"/>
    <w:rsid w:val="00193269"/>
    <w:rsid w:val="00193CCF"/>
    <w:rsid w:val="00193E5B"/>
    <w:rsid w:val="00194216"/>
    <w:rsid w:val="001942A6"/>
    <w:rsid w:val="00194353"/>
    <w:rsid w:val="0019463B"/>
    <w:rsid w:val="001948AA"/>
    <w:rsid w:val="00194BE5"/>
    <w:rsid w:val="00194D94"/>
    <w:rsid w:val="0019569D"/>
    <w:rsid w:val="001969C1"/>
    <w:rsid w:val="00196B92"/>
    <w:rsid w:val="00197156"/>
    <w:rsid w:val="00197238"/>
    <w:rsid w:val="00197E13"/>
    <w:rsid w:val="00197E64"/>
    <w:rsid w:val="001A119F"/>
    <w:rsid w:val="001A1518"/>
    <w:rsid w:val="001A1998"/>
    <w:rsid w:val="001A1BCC"/>
    <w:rsid w:val="001A1E29"/>
    <w:rsid w:val="001A220B"/>
    <w:rsid w:val="001A2AC4"/>
    <w:rsid w:val="001A2E20"/>
    <w:rsid w:val="001A30EF"/>
    <w:rsid w:val="001A3128"/>
    <w:rsid w:val="001A3C38"/>
    <w:rsid w:val="001A3EAB"/>
    <w:rsid w:val="001A4728"/>
    <w:rsid w:val="001A4775"/>
    <w:rsid w:val="001A5AAF"/>
    <w:rsid w:val="001A752B"/>
    <w:rsid w:val="001A7A68"/>
    <w:rsid w:val="001A7D3B"/>
    <w:rsid w:val="001B0FD7"/>
    <w:rsid w:val="001B1B46"/>
    <w:rsid w:val="001B1DB1"/>
    <w:rsid w:val="001B1F89"/>
    <w:rsid w:val="001B27E2"/>
    <w:rsid w:val="001B28CF"/>
    <w:rsid w:val="001B3084"/>
    <w:rsid w:val="001B3CF8"/>
    <w:rsid w:val="001B3D0F"/>
    <w:rsid w:val="001B3DA1"/>
    <w:rsid w:val="001B4E3A"/>
    <w:rsid w:val="001B5175"/>
    <w:rsid w:val="001B58DC"/>
    <w:rsid w:val="001B6337"/>
    <w:rsid w:val="001B734C"/>
    <w:rsid w:val="001B753D"/>
    <w:rsid w:val="001B7566"/>
    <w:rsid w:val="001B7C6E"/>
    <w:rsid w:val="001C032A"/>
    <w:rsid w:val="001C0F66"/>
    <w:rsid w:val="001C1DA5"/>
    <w:rsid w:val="001C2105"/>
    <w:rsid w:val="001C2409"/>
    <w:rsid w:val="001C2426"/>
    <w:rsid w:val="001C262B"/>
    <w:rsid w:val="001C2BDF"/>
    <w:rsid w:val="001C3A8A"/>
    <w:rsid w:val="001C3DA4"/>
    <w:rsid w:val="001C41BA"/>
    <w:rsid w:val="001C4521"/>
    <w:rsid w:val="001C48D1"/>
    <w:rsid w:val="001C4ED6"/>
    <w:rsid w:val="001C537F"/>
    <w:rsid w:val="001C5706"/>
    <w:rsid w:val="001C573F"/>
    <w:rsid w:val="001C71E8"/>
    <w:rsid w:val="001C7264"/>
    <w:rsid w:val="001C7D13"/>
    <w:rsid w:val="001D0744"/>
    <w:rsid w:val="001D085D"/>
    <w:rsid w:val="001D0DF6"/>
    <w:rsid w:val="001D0E36"/>
    <w:rsid w:val="001D2460"/>
    <w:rsid w:val="001D26C7"/>
    <w:rsid w:val="001D2B39"/>
    <w:rsid w:val="001D2CAE"/>
    <w:rsid w:val="001D3203"/>
    <w:rsid w:val="001D3A67"/>
    <w:rsid w:val="001D43EB"/>
    <w:rsid w:val="001D4771"/>
    <w:rsid w:val="001D4FC6"/>
    <w:rsid w:val="001D5771"/>
    <w:rsid w:val="001D6178"/>
    <w:rsid w:val="001D6552"/>
    <w:rsid w:val="001D71B2"/>
    <w:rsid w:val="001D7E55"/>
    <w:rsid w:val="001D7E70"/>
    <w:rsid w:val="001E0A40"/>
    <w:rsid w:val="001E0A9A"/>
    <w:rsid w:val="001E10A7"/>
    <w:rsid w:val="001E125D"/>
    <w:rsid w:val="001E17C2"/>
    <w:rsid w:val="001E1A79"/>
    <w:rsid w:val="001E1C5F"/>
    <w:rsid w:val="001E25B7"/>
    <w:rsid w:val="001E2D44"/>
    <w:rsid w:val="001E3303"/>
    <w:rsid w:val="001E340E"/>
    <w:rsid w:val="001E34D8"/>
    <w:rsid w:val="001E3AA8"/>
    <w:rsid w:val="001E3ACA"/>
    <w:rsid w:val="001E40A7"/>
    <w:rsid w:val="001E4110"/>
    <w:rsid w:val="001E4DD3"/>
    <w:rsid w:val="001E5394"/>
    <w:rsid w:val="001E60AB"/>
    <w:rsid w:val="001E64BE"/>
    <w:rsid w:val="001E64FD"/>
    <w:rsid w:val="001E65CA"/>
    <w:rsid w:val="001E7993"/>
    <w:rsid w:val="001E7AD5"/>
    <w:rsid w:val="001E7D91"/>
    <w:rsid w:val="001E7E6F"/>
    <w:rsid w:val="001F00AB"/>
    <w:rsid w:val="001F03CF"/>
    <w:rsid w:val="001F0548"/>
    <w:rsid w:val="001F0753"/>
    <w:rsid w:val="001F0E75"/>
    <w:rsid w:val="001F15B8"/>
    <w:rsid w:val="001F178E"/>
    <w:rsid w:val="001F1BD1"/>
    <w:rsid w:val="001F2564"/>
    <w:rsid w:val="001F3838"/>
    <w:rsid w:val="001F3989"/>
    <w:rsid w:val="001F3C04"/>
    <w:rsid w:val="001F465F"/>
    <w:rsid w:val="001F46F3"/>
    <w:rsid w:val="001F4B90"/>
    <w:rsid w:val="001F6143"/>
    <w:rsid w:val="001F6758"/>
    <w:rsid w:val="001F6B4F"/>
    <w:rsid w:val="001F6E88"/>
    <w:rsid w:val="001F709F"/>
    <w:rsid w:val="001F719B"/>
    <w:rsid w:val="001F7A0C"/>
    <w:rsid w:val="0020109F"/>
    <w:rsid w:val="00201DC3"/>
    <w:rsid w:val="00201EF1"/>
    <w:rsid w:val="00201F3B"/>
    <w:rsid w:val="0020274E"/>
    <w:rsid w:val="0020303C"/>
    <w:rsid w:val="00204299"/>
    <w:rsid w:val="002044FF"/>
    <w:rsid w:val="00204F86"/>
    <w:rsid w:val="0020506A"/>
    <w:rsid w:val="0020516F"/>
    <w:rsid w:val="00205395"/>
    <w:rsid w:val="002054E2"/>
    <w:rsid w:val="002056FA"/>
    <w:rsid w:val="002057AB"/>
    <w:rsid w:val="00205AB2"/>
    <w:rsid w:val="00207659"/>
    <w:rsid w:val="00207661"/>
    <w:rsid w:val="00210352"/>
    <w:rsid w:val="00210403"/>
    <w:rsid w:val="0021059A"/>
    <w:rsid w:val="002106FB"/>
    <w:rsid w:val="00210DF5"/>
    <w:rsid w:val="00211A2F"/>
    <w:rsid w:val="00211AB8"/>
    <w:rsid w:val="00211D96"/>
    <w:rsid w:val="002129CE"/>
    <w:rsid w:val="00212A40"/>
    <w:rsid w:val="00212C56"/>
    <w:rsid w:val="002135B1"/>
    <w:rsid w:val="002137B6"/>
    <w:rsid w:val="0021403A"/>
    <w:rsid w:val="002142C3"/>
    <w:rsid w:val="00214EB5"/>
    <w:rsid w:val="00214F74"/>
    <w:rsid w:val="00215117"/>
    <w:rsid w:val="00215237"/>
    <w:rsid w:val="00215306"/>
    <w:rsid w:val="002153FB"/>
    <w:rsid w:val="00215A10"/>
    <w:rsid w:val="00215D17"/>
    <w:rsid w:val="00215FCA"/>
    <w:rsid w:val="002163A2"/>
    <w:rsid w:val="00217196"/>
    <w:rsid w:val="00217933"/>
    <w:rsid w:val="00220BE3"/>
    <w:rsid w:val="00220DA5"/>
    <w:rsid w:val="00221420"/>
    <w:rsid w:val="002218BE"/>
    <w:rsid w:val="00222098"/>
    <w:rsid w:val="00222AD8"/>
    <w:rsid w:val="00222F73"/>
    <w:rsid w:val="0022349B"/>
    <w:rsid w:val="00223593"/>
    <w:rsid w:val="00223A04"/>
    <w:rsid w:val="00223CEB"/>
    <w:rsid w:val="0022404F"/>
    <w:rsid w:val="00224674"/>
    <w:rsid w:val="00224791"/>
    <w:rsid w:val="002251F6"/>
    <w:rsid w:val="002257CA"/>
    <w:rsid w:val="00225A81"/>
    <w:rsid w:val="00225B4D"/>
    <w:rsid w:val="0022627F"/>
    <w:rsid w:val="002273A0"/>
    <w:rsid w:val="0022754F"/>
    <w:rsid w:val="00227988"/>
    <w:rsid w:val="0023025E"/>
    <w:rsid w:val="00230522"/>
    <w:rsid w:val="00230950"/>
    <w:rsid w:val="00230CA6"/>
    <w:rsid w:val="002313D4"/>
    <w:rsid w:val="00231D81"/>
    <w:rsid w:val="00231DBE"/>
    <w:rsid w:val="00231F12"/>
    <w:rsid w:val="00232009"/>
    <w:rsid w:val="002324A8"/>
    <w:rsid w:val="002330D3"/>
    <w:rsid w:val="002332E0"/>
    <w:rsid w:val="002335FA"/>
    <w:rsid w:val="0023394A"/>
    <w:rsid w:val="00233B31"/>
    <w:rsid w:val="00233CB8"/>
    <w:rsid w:val="0023526B"/>
    <w:rsid w:val="00235774"/>
    <w:rsid w:val="002358E3"/>
    <w:rsid w:val="00235B7D"/>
    <w:rsid w:val="00235C9E"/>
    <w:rsid w:val="00236C31"/>
    <w:rsid w:val="00237024"/>
    <w:rsid w:val="00237886"/>
    <w:rsid w:val="0023791B"/>
    <w:rsid w:val="00237B53"/>
    <w:rsid w:val="00240E70"/>
    <w:rsid w:val="00240FCC"/>
    <w:rsid w:val="0024116E"/>
    <w:rsid w:val="002412D4"/>
    <w:rsid w:val="0024132B"/>
    <w:rsid w:val="00241539"/>
    <w:rsid w:val="0024215C"/>
    <w:rsid w:val="002422E2"/>
    <w:rsid w:val="00242453"/>
    <w:rsid w:val="002426FA"/>
    <w:rsid w:val="002428DE"/>
    <w:rsid w:val="00243140"/>
    <w:rsid w:val="00243AC2"/>
    <w:rsid w:val="00244488"/>
    <w:rsid w:val="00244542"/>
    <w:rsid w:val="00244793"/>
    <w:rsid w:val="00244852"/>
    <w:rsid w:val="0024533D"/>
    <w:rsid w:val="00245528"/>
    <w:rsid w:val="0024555C"/>
    <w:rsid w:val="00245579"/>
    <w:rsid w:val="00246F2B"/>
    <w:rsid w:val="00247550"/>
    <w:rsid w:val="00247909"/>
    <w:rsid w:val="00247C67"/>
    <w:rsid w:val="00250D30"/>
    <w:rsid w:val="00250D9C"/>
    <w:rsid w:val="00250E97"/>
    <w:rsid w:val="00250F5B"/>
    <w:rsid w:val="00250F6C"/>
    <w:rsid w:val="0025106D"/>
    <w:rsid w:val="00251E28"/>
    <w:rsid w:val="00251F00"/>
    <w:rsid w:val="0025208C"/>
    <w:rsid w:val="00252604"/>
    <w:rsid w:val="0025333F"/>
    <w:rsid w:val="002539A7"/>
    <w:rsid w:val="00253D41"/>
    <w:rsid w:val="00253FA0"/>
    <w:rsid w:val="00254272"/>
    <w:rsid w:val="00254363"/>
    <w:rsid w:val="002546AF"/>
    <w:rsid w:val="00254DC6"/>
    <w:rsid w:val="00254ED8"/>
    <w:rsid w:val="00255238"/>
    <w:rsid w:val="0025602B"/>
    <w:rsid w:val="002560A3"/>
    <w:rsid w:val="00256E78"/>
    <w:rsid w:val="00256ED6"/>
    <w:rsid w:val="00256F0D"/>
    <w:rsid w:val="00256FE4"/>
    <w:rsid w:val="002571FA"/>
    <w:rsid w:val="0025746E"/>
    <w:rsid w:val="00257A80"/>
    <w:rsid w:val="0026008D"/>
    <w:rsid w:val="002609F1"/>
    <w:rsid w:val="00260EC9"/>
    <w:rsid w:val="00260F66"/>
    <w:rsid w:val="00261252"/>
    <w:rsid w:val="002613CB"/>
    <w:rsid w:val="00261405"/>
    <w:rsid w:val="00261928"/>
    <w:rsid w:val="00261DC3"/>
    <w:rsid w:val="00261F5D"/>
    <w:rsid w:val="00262B48"/>
    <w:rsid w:val="00262CED"/>
    <w:rsid w:val="00263400"/>
    <w:rsid w:val="002635F9"/>
    <w:rsid w:val="002641AD"/>
    <w:rsid w:val="002642A8"/>
    <w:rsid w:val="002645B9"/>
    <w:rsid w:val="0026537B"/>
    <w:rsid w:val="002655C2"/>
    <w:rsid w:val="00265888"/>
    <w:rsid w:val="00265947"/>
    <w:rsid w:val="002666F1"/>
    <w:rsid w:val="0026686A"/>
    <w:rsid w:val="00266AB9"/>
    <w:rsid w:val="00267219"/>
    <w:rsid w:val="00267E38"/>
    <w:rsid w:val="002704B5"/>
    <w:rsid w:val="00270917"/>
    <w:rsid w:val="00270AA0"/>
    <w:rsid w:val="00270EE9"/>
    <w:rsid w:val="0027141E"/>
    <w:rsid w:val="0027145C"/>
    <w:rsid w:val="0027150C"/>
    <w:rsid w:val="00271B7C"/>
    <w:rsid w:val="00271C60"/>
    <w:rsid w:val="0027298F"/>
    <w:rsid w:val="002738F1"/>
    <w:rsid w:val="00275306"/>
    <w:rsid w:val="0027533C"/>
    <w:rsid w:val="00275609"/>
    <w:rsid w:val="00275880"/>
    <w:rsid w:val="00275E0E"/>
    <w:rsid w:val="002760C6"/>
    <w:rsid w:val="0027677C"/>
    <w:rsid w:val="00276DEA"/>
    <w:rsid w:val="00277115"/>
    <w:rsid w:val="00277130"/>
    <w:rsid w:val="00277284"/>
    <w:rsid w:val="00277470"/>
    <w:rsid w:val="0027771E"/>
    <w:rsid w:val="002778C9"/>
    <w:rsid w:val="00277D97"/>
    <w:rsid w:val="002809B7"/>
    <w:rsid w:val="00280F01"/>
    <w:rsid w:val="00280F8D"/>
    <w:rsid w:val="00281029"/>
    <w:rsid w:val="00281314"/>
    <w:rsid w:val="0028150D"/>
    <w:rsid w:val="00282074"/>
    <w:rsid w:val="0028264F"/>
    <w:rsid w:val="00282ADE"/>
    <w:rsid w:val="0028344E"/>
    <w:rsid w:val="00283A93"/>
    <w:rsid w:val="00283B69"/>
    <w:rsid w:val="0028406B"/>
    <w:rsid w:val="0028423C"/>
    <w:rsid w:val="002842F3"/>
    <w:rsid w:val="00284359"/>
    <w:rsid w:val="0028439C"/>
    <w:rsid w:val="0028446A"/>
    <w:rsid w:val="0028568D"/>
    <w:rsid w:val="00285707"/>
    <w:rsid w:val="00286B3A"/>
    <w:rsid w:val="00286B69"/>
    <w:rsid w:val="00286F8D"/>
    <w:rsid w:val="002874EF"/>
    <w:rsid w:val="002875D6"/>
    <w:rsid w:val="002875EE"/>
    <w:rsid w:val="00287681"/>
    <w:rsid w:val="002877D7"/>
    <w:rsid w:val="00287AE0"/>
    <w:rsid w:val="00287B18"/>
    <w:rsid w:val="00287EB2"/>
    <w:rsid w:val="0029095F"/>
    <w:rsid w:val="00290F58"/>
    <w:rsid w:val="0029106B"/>
    <w:rsid w:val="002913D9"/>
    <w:rsid w:val="0029140F"/>
    <w:rsid w:val="002917D5"/>
    <w:rsid w:val="002919C8"/>
    <w:rsid w:val="00291DF3"/>
    <w:rsid w:val="002923F9"/>
    <w:rsid w:val="002936BB"/>
    <w:rsid w:val="002939CB"/>
    <w:rsid w:val="00293B5F"/>
    <w:rsid w:val="00293C7D"/>
    <w:rsid w:val="00293DDD"/>
    <w:rsid w:val="00294729"/>
    <w:rsid w:val="002947B6"/>
    <w:rsid w:val="00294B2E"/>
    <w:rsid w:val="00294F8B"/>
    <w:rsid w:val="0029507A"/>
    <w:rsid w:val="00296222"/>
    <w:rsid w:val="00296B6D"/>
    <w:rsid w:val="00296D43"/>
    <w:rsid w:val="00296F6D"/>
    <w:rsid w:val="0029767B"/>
    <w:rsid w:val="0029783B"/>
    <w:rsid w:val="00297E32"/>
    <w:rsid w:val="002A078A"/>
    <w:rsid w:val="002A09C9"/>
    <w:rsid w:val="002A121A"/>
    <w:rsid w:val="002A187B"/>
    <w:rsid w:val="002A1B52"/>
    <w:rsid w:val="002A2E2D"/>
    <w:rsid w:val="002A3198"/>
    <w:rsid w:val="002A33BE"/>
    <w:rsid w:val="002A34D1"/>
    <w:rsid w:val="002A3666"/>
    <w:rsid w:val="002A3E40"/>
    <w:rsid w:val="002A4252"/>
    <w:rsid w:val="002A4950"/>
    <w:rsid w:val="002A4BBD"/>
    <w:rsid w:val="002A4F0D"/>
    <w:rsid w:val="002A5123"/>
    <w:rsid w:val="002A56F9"/>
    <w:rsid w:val="002A5955"/>
    <w:rsid w:val="002A65E6"/>
    <w:rsid w:val="002A6977"/>
    <w:rsid w:val="002A6C09"/>
    <w:rsid w:val="002A6D10"/>
    <w:rsid w:val="002A711E"/>
    <w:rsid w:val="002A74C6"/>
    <w:rsid w:val="002A7510"/>
    <w:rsid w:val="002A76C2"/>
    <w:rsid w:val="002A7EC4"/>
    <w:rsid w:val="002B00FE"/>
    <w:rsid w:val="002B02F0"/>
    <w:rsid w:val="002B0800"/>
    <w:rsid w:val="002B0F34"/>
    <w:rsid w:val="002B1152"/>
    <w:rsid w:val="002B116A"/>
    <w:rsid w:val="002B11C3"/>
    <w:rsid w:val="002B12BD"/>
    <w:rsid w:val="002B1414"/>
    <w:rsid w:val="002B18FF"/>
    <w:rsid w:val="002B1B4F"/>
    <w:rsid w:val="002B1B56"/>
    <w:rsid w:val="002B1D03"/>
    <w:rsid w:val="002B1E1F"/>
    <w:rsid w:val="002B1FF5"/>
    <w:rsid w:val="002B2010"/>
    <w:rsid w:val="002B218B"/>
    <w:rsid w:val="002B2474"/>
    <w:rsid w:val="002B3200"/>
    <w:rsid w:val="002B3607"/>
    <w:rsid w:val="002B3BD1"/>
    <w:rsid w:val="002B41BA"/>
    <w:rsid w:val="002B4A88"/>
    <w:rsid w:val="002B4E19"/>
    <w:rsid w:val="002B4ECF"/>
    <w:rsid w:val="002B5BD2"/>
    <w:rsid w:val="002B5E99"/>
    <w:rsid w:val="002B64C4"/>
    <w:rsid w:val="002B77EB"/>
    <w:rsid w:val="002B7CED"/>
    <w:rsid w:val="002C0BED"/>
    <w:rsid w:val="002C0E45"/>
    <w:rsid w:val="002C1190"/>
    <w:rsid w:val="002C11F9"/>
    <w:rsid w:val="002C12F7"/>
    <w:rsid w:val="002C1586"/>
    <w:rsid w:val="002C281B"/>
    <w:rsid w:val="002C29C7"/>
    <w:rsid w:val="002C2CCC"/>
    <w:rsid w:val="002C37D9"/>
    <w:rsid w:val="002C3984"/>
    <w:rsid w:val="002C3A8A"/>
    <w:rsid w:val="002C3FCB"/>
    <w:rsid w:val="002C4099"/>
    <w:rsid w:val="002C4F53"/>
    <w:rsid w:val="002C5255"/>
    <w:rsid w:val="002C61C2"/>
    <w:rsid w:val="002C640C"/>
    <w:rsid w:val="002D0663"/>
    <w:rsid w:val="002D06B9"/>
    <w:rsid w:val="002D104C"/>
    <w:rsid w:val="002D10AA"/>
    <w:rsid w:val="002D12E7"/>
    <w:rsid w:val="002D208E"/>
    <w:rsid w:val="002D21F5"/>
    <w:rsid w:val="002D2729"/>
    <w:rsid w:val="002D276D"/>
    <w:rsid w:val="002D2B46"/>
    <w:rsid w:val="002D34F6"/>
    <w:rsid w:val="002D401C"/>
    <w:rsid w:val="002D448D"/>
    <w:rsid w:val="002D46AB"/>
    <w:rsid w:val="002D58B4"/>
    <w:rsid w:val="002D5B80"/>
    <w:rsid w:val="002D5C4F"/>
    <w:rsid w:val="002D5FD1"/>
    <w:rsid w:val="002D60D7"/>
    <w:rsid w:val="002D60DA"/>
    <w:rsid w:val="002D6355"/>
    <w:rsid w:val="002D66B5"/>
    <w:rsid w:val="002D71F3"/>
    <w:rsid w:val="002D7228"/>
    <w:rsid w:val="002D7D27"/>
    <w:rsid w:val="002E0322"/>
    <w:rsid w:val="002E06B3"/>
    <w:rsid w:val="002E0F96"/>
    <w:rsid w:val="002E294D"/>
    <w:rsid w:val="002E2D57"/>
    <w:rsid w:val="002E4D27"/>
    <w:rsid w:val="002E538B"/>
    <w:rsid w:val="002E5557"/>
    <w:rsid w:val="002E5856"/>
    <w:rsid w:val="002E641B"/>
    <w:rsid w:val="002E6645"/>
    <w:rsid w:val="002E6A1D"/>
    <w:rsid w:val="002E6C54"/>
    <w:rsid w:val="002E71D8"/>
    <w:rsid w:val="002E7410"/>
    <w:rsid w:val="002E7D44"/>
    <w:rsid w:val="002E7E03"/>
    <w:rsid w:val="002F077A"/>
    <w:rsid w:val="002F07F1"/>
    <w:rsid w:val="002F1346"/>
    <w:rsid w:val="002F1530"/>
    <w:rsid w:val="002F15F0"/>
    <w:rsid w:val="002F1A0A"/>
    <w:rsid w:val="002F1AF1"/>
    <w:rsid w:val="002F2DE0"/>
    <w:rsid w:val="002F33B9"/>
    <w:rsid w:val="002F350B"/>
    <w:rsid w:val="002F3656"/>
    <w:rsid w:val="002F3AA4"/>
    <w:rsid w:val="002F4B26"/>
    <w:rsid w:val="002F4BCA"/>
    <w:rsid w:val="002F4F13"/>
    <w:rsid w:val="002F53BC"/>
    <w:rsid w:val="002F5741"/>
    <w:rsid w:val="002F5D07"/>
    <w:rsid w:val="002F6286"/>
    <w:rsid w:val="002F658E"/>
    <w:rsid w:val="002F66F5"/>
    <w:rsid w:val="002F6B28"/>
    <w:rsid w:val="002F6B62"/>
    <w:rsid w:val="002F71C8"/>
    <w:rsid w:val="002F78B3"/>
    <w:rsid w:val="002F7CB8"/>
    <w:rsid w:val="002F7F5B"/>
    <w:rsid w:val="003003BE"/>
    <w:rsid w:val="00300987"/>
    <w:rsid w:val="00300A69"/>
    <w:rsid w:val="00300C55"/>
    <w:rsid w:val="00300CC1"/>
    <w:rsid w:val="003017DF"/>
    <w:rsid w:val="0030183F"/>
    <w:rsid w:val="00301D52"/>
    <w:rsid w:val="003022DF"/>
    <w:rsid w:val="00302540"/>
    <w:rsid w:val="00303345"/>
    <w:rsid w:val="0030381D"/>
    <w:rsid w:val="00303C6F"/>
    <w:rsid w:val="003045A7"/>
    <w:rsid w:val="00304E28"/>
    <w:rsid w:val="0030554F"/>
    <w:rsid w:val="00305582"/>
    <w:rsid w:val="003057E6"/>
    <w:rsid w:val="0030590D"/>
    <w:rsid w:val="00305CF8"/>
    <w:rsid w:val="00306207"/>
    <w:rsid w:val="00306845"/>
    <w:rsid w:val="003069E4"/>
    <w:rsid w:val="00306A33"/>
    <w:rsid w:val="00307D8F"/>
    <w:rsid w:val="003101E8"/>
    <w:rsid w:val="00311074"/>
    <w:rsid w:val="00311209"/>
    <w:rsid w:val="00311385"/>
    <w:rsid w:val="00311E26"/>
    <w:rsid w:val="00312149"/>
    <w:rsid w:val="003121AE"/>
    <w:rsid w:val="003130D0"/>
    <w:rsid w:val="00313238"/>
    <w:rsid w:val="003135E8"/>
    <w:rsid w:val="00313FC0"/>
    <w:rsid w:val="003143A5"/>
    <w:rsid w:val="003148E0"/>
    <w:rsid w:val="003158B0"/>
    <w:rsid w:val="003162BA"/>
    <w:rsid w:val="00316421"/>
    <w:rsid w:val="003164BF"/>
    <w:rsid w:val="00316667"/>
    <w:rsid w:val="0031683D"/>
    <w:rsid w:val="003169AD"/>
    <w:rsid w:val="00316B3A"/>
    <w:rsid w:val="003171CA"/>
    <w:rsid w:val="0031720F"/>
    <w:rsid w:val="0031748C"/>
    <w:rsid w:val="00317AA2"/>
    <w:rsid w:val="00320214"/>
    <w:rsid w:val="003212C7"/>
    <w:rsid w:val="00321514"/>
    <w:rsid w:val="003221E5"/>
    <w:rsid w:val="00322648"/>
    <w:rsid w:val="0032268E"/>
    <w:rsid w:val="0032313D"/>
    <w:rsid w:val="003248E1"/>
    <w:rsid w:val="0032496B"/>
    <w:rsid w:val="00325418"/>
    <w:rsid w:val="003254A9"/>
    <w:rsid w:val="003267CE"/>
    <w:rsid w:val="00326990"/>
    <w:rsid w:val="00327343"/>
    <w:rsid w:val="0032742B"/>
    <w:rsid w:val="003276DF"/>
    <w:rsid w:val="00327AF8"/>
    <w:rsid w:val="00327D76"/>
    <w:rsid w:val="00327D7B"/>
    <w:rsid w:val="0033057B"/>
    <w:rsid w:val="0033160C"/>
    <w:rsid w:val="00331772"/>
    <w:rsid w:val="0033190F"/>
    <w:rsid w:val="003319F0"/>
    <w:rsid w:val="00331A68"/>
    <w:rsid w:val="003325F5"/>
    <w:rsid w:val="00333F53"/>
    <w:rsid w:val="00333FE1"/>
    <w:rsid w:val="0033464A"/>
    <w:rsid w:val="003349E6"/>
    <w:rsid w:val="00334D60"/>
    <w:rsid w:val="00334E14"/>
    <w:rsid w:val="0033549C"/>
    <w:rsid w:val="003356E1"/>
    <w:rsid w:val="0033599A"/>
    <w:rsid w:val="00335BC1"/>
    <w:rsid w:val="003366AD"/>
    <w:rsid w:val="00336AC4"/>
    <w:rsid w:val="00336BCE"/>
    <w:rsid w:val="00336DF1"/>
    <w:rsid w:val="00336F76"/>
    <w:rsid w:val="0033709F"/>
    <w:rsid w:val="00337230"/>
    <w:rsid w:val="00337B26"/>
    <w:rsid w:val="00340754"/>
    <w:rsid w:val="003407F6"/>
    <w:rsid w:val="003415FE"/>
    <w:rsid w:val="003418B8"/>
    <w:rsid w:val="00341948"/>
    <w:rsid w:val="00342202"/>
    <w:rsid w:val="003431F8"/>
    <w:rsid w:val="0034356F"/>
    <w:rsid w:val="00343C4D"/>
    <w:rsid w:val="003453B3"/>
    <w:rsid w:val="00345649"/>
    <w:rsid w:val="00345992"/>
    <w:rsid w:val="0034613B"/>
    <w:rsid w:val="0034616B"/>
    <w:rsid w:val="00346E5F"/>
    <w:rsid w:val="00347125"/>
    <w:rsid w:val="00347BE5"/>
    <w:rsid w:val="00347EE1"/>
    <w:rsid w:val="00350042"/>
    <w:rsid w:val="00350709"/>
    <w:rsid w:val="003509E4"/>
    <w:rsid w:val="00350A92"/>
    <w:rsid w:val="0035127B"/>
    <w:rsid w:val="00352BAC"/>
    <w:rsid w:val="00353119"/>
    <w:rsid w:val="00353250"/>
    <w:rsid w:val="003539A1"/>
    <w:rsid w:val="0035417A"/>
    <w:rsid w:val="00354184"/>
    <w:rsid w:val="003543DD"/>
    <w:rsid w:val="00354B27"/>
    <w:rsid w:val="00354BED"/>
    <w:rsid w:val="0035654A"/>
    <w:rsid w:val="003567D5"/>
    <w:rsid w:val="00356B94"/>
    <w:rsid w:val="00356C83"/>
    <w:rsid w:val="00357108"/>
    <w:rsid w:val="00357649"/>
    <w:rsid w:val="00357674"/>
    <w:rsid w:val="003607A2"/>
    <w:rsid w:val="00360A73"/>
    <w:rsid w:val="00360DF6"/>
    <w:rsid w:val="00361184"/>
    <w:rsid w:val="0036164A"/>
    <w:rsid w:val="003619AF"/>
    <w:rsid w:val="00361B6F"/>
    <w:rsid w:val="0036209C"/>
    <w:rsid w:val="003621F0"/>
    <w:rsid w:val="003622D0"/>
    <w:rsid w:val="00362355"/>
    <w:rsid w:val="00362F54"/>
    <w:rsid w:val="00363927"/>
    <w:rsid w:val="00363BB0"/>
    <w:rsid w:val="0036437B"/>
    <w:rsid w:val="00364ABD"/>
    <w:rsid w:val="0036516A"/>
    <w:rsid w:val="00365FFC"/>
    <w:rsid w:val="003670B5"/>
    <w:rsid w:val="00367F71"/>
    <w:rsid w:val="00370760"/>
    <w:rsid w:val="0037137A"/>
    <w:rsid w:val="003722B4"/>
    <w:rsid w:val="00372D80"/>
    <w:rsid w:val="00373993"/>
    <w:rsid w:val="00373AB4"/>
    <w:rsid w:val="00373F16"/>
    <w:rsid w:val="00373F98"/>
    <w:rsid w:val="00374150"/>
    <w:rsid w:val="0037492B"/>
    <w:rsid w:val="00374FF4"/>
    <w:rsid w:val="00375454"/>
    <w:rsid w:val="00375674"/>
    <w:rsid w:val="0037596D"/>
    <w:rsid w:val="00376289"/>
    <w:rsid w:val="00376793"/>
    <w:rsid w:val="003771B7"/>
    <w:rsid w:val="003779E9"/>
    <w:rsid w:val="00377F9A"/>
    <w:rsid w:val="003802BF"/>
    <w:rsid w:val="0038035A"/>
    <w:rsid w:val="0038052E"/>
    <w:rsid w:val="003806F4"/>
    <w:rsid w:val="00380B26"/>
    <w:rsid w:val="00381ABC"/>
    <w:rsid w:val="00381D74"/>
    <w:rsid w:val="00381F9A"/>
    <w:rsid w:val="003822DF"/>
    <w:rsid w:val="0038261A"/>
    <w:rsid w:val="00382BA7"/>
    <w:rsid w:val="003832B6"/>
    <w:rsid w:val="00383973"/>
    <w:rsid w:val="00384234"/>
    <w:rsid w:val="0038451C"/>
    <w:rsid w:val="00384722"/>
    <w:rsid w:val="00384BE2"/>
    <w:rsid w:val="003851DC"/>
    <w:rsid w:val="003864FD"/>
    <w:rsid w:val="003867DA"/>
    <w:rsid w:val="00386F5E"/>
    <w:rsid w:val="00387486"/>
    <w:rsid w:val="00387A2F"/>
    <w:rsid w:val="003900CB"/>
    <w:rsid w:val="00390494"/>
    <w:rsid w:val="00390B4E"/>
    <w:rsid w:val="00390C93"/>
    <w:rsid w:val="00390CB7"/>
    <w:rsid w:val="0039138C"/>
    <w:rsid w:val="00391AF4"/>
    <w:rsid w:val="00391D1D"/>
    <w:rsid w:val="00392779"/>
    <w:rsid w:val="003927C5"/>
    <w:rsid w:val="003929FE"/>
    <w:rsid w:val="00393103"/>
    <w:rsid w:val="003931A1"/>
    <w:rsid w:val="003933AE"/>
    <w:rsid w:val="00393B7A"/>
    <w:rsid w:val="00394241"/>
    <w:rsid w:val="003945F4"/>
    <w:rsid w:val="0039481A"/>
    <w:rsid w:val="00395B0E"/>
    <w:rsid w:val="003963BB"/>
    <w:rsid w:val="003970BA"/>
    <w:rsid w:val="0039739C"/>
    <w:rsid w:val="003974E5"/>
    <w:rsid w:val="003A0138"/>
    <w:rsid w:val="003A039E"/>
    <w:rsid w:val="003A052E"/>
    <w:rsid w:val="003A1036"/>
    <w:rsid w:val="003A17BA"/>
    <w:rsid w:val="003A1B94"/>
    <w:rsid w:val="003A1C41"/>
    <w:rsid w:val="003A1ED1"/>
    <w:rsid w:val="003A20F8"/>
    <w:rsid w:val="003A2269"/>
    <w:rsid w:val="003A258F"/>
    <w:rsid w:val="003A2620"/>
    <w:rsid w:val="003A2D07"/>
    <w:rsid w:val="003A2DB7"/>
    <w:rsid w:val="003A2F6B"/>
    <w:rsid w:val="003A3005"/>
    <w:rsid w:val="003A33E8"/>
    <w:rsid w:val="003A3889"/>
    <w:rsid w:val="003A39F3"/>
    <w:rsid w:val="003A3AEA"/>
    <w:rsid w:val="003A4303"/>
    <w:rsid w:val="003A4B0C"/>
    <w:rsid w:val="003A4D18"/>
    <w:rsid w:val="003A4E8C"/>
    <w:rsid w:val="003A53B5"/>
    <w:rsid w:val="003A55BF"/>
    <w:rsid w:val="003A5694"/>
    <w:rsid w:val="003A5A19"/>
    <w:rsid w:val="003A670E"/>
    <w:rsid w:val="003A6B6C"/>
    <w:rsid w:val="003A6CA3"/>
    <w:rsid w:val="003A6D4A"/>
    <w:rsid w:val="003A7907"/>
    <w:rsid w:val="003A79E1"/>
    <w:rsid w:val="003A7C4F"/>
    <w:rsid w:val="003B00A2"/>
    <w:rsid w:val="003B013B"/>
    <w:rsid w:val="003B0518"/>
    <w:rsid w:val="003B0814"/>
    <w:rsid w:val="003B14D8"/>
    <w:rsid w:val="003B1527"/>
    <w:rsid w:val="003B1F2E"/>
    <w:rsid w:val="003B21E2"/>
    <w:rsid w:val="003B23D1"/>
    <w:rsid w:val="003B26D6"/>
    <w:rsid w:val="003B2BA7"/>
    <w:rsid w:val="003B37AE"/>
    <w:rsid w:val="003B388F"/>
    <w:rsid w:val="003B4244"/>
    <w:rsid w:val="003B44F2"/>
    <w:rsid w:val="003B459D"/>
    <w:rsid w:val="003B4E69"/>
    <w:rsid w:val="003B62CB"/>
    <w:rsid w:val="003B6ACD"/>
    <w:rsid w:val="003B6AF5"/>
    <w:rsid w:val="003B70D2"/>
    <w:rsid w:val="003B72B2"/>
    <w:rsid w:val="003B7E72"/>
    <w:rsid w:val="003B7F4B"/>
    <w:rsid w:val="003C0CF2"/>
    <w:rsid w:val="003C0E22"/>
    <w:rsid w:val="003C1007"/>
    <w:rsid w:val="003C1CCC"/>
    <w:rsid w:val="003C1F74"/>
    <w:rsid w:val="003C2BA5"/>
    <w:rsid w:val="003C2D9C"/>
    <w:rsid w:val="003C327A"/>
    <w:rsid w:val="003C34E4"/>
    <w:rsid w:val="003C37BA"/>
    <w:rsid w:val="003C3A52"/>
    <w:rsid w:val="003C4375"/>
    <w:rsid w:val="003C45E1"/>
    <w:rsid w:val="003C47DF"/>
    <w:rsid w:val="003C5097"/>
    <w:rsid w:val="003C5504"/>
    <w:rsid w:val="003C57C8"/>
    <w:rsid w:val="003C59B5"/>
    <w:rsid w:val="003C5C93"/>
    <w:rsid w:val="003C5FC3"/>
    <w:rsid w:val="003C6101"/>
    <w:rsid w:val="003C6331"/>
    <w:rsid w:val="003C6A83"/>
    <w:rsid w:val="003C7012"/>
    <w:rsid w:val="003C74C9"/>
    <w:rsid w:val="003D0E07"/>
    <w:rsid w:val="003D0F15"/>
    <w:rsid w:val="003D1088"/>
    <w:rsid w:val="003D2135"/>
    <w:rsid w:val="003D22A4"/>
    <w:rsid w:val="003D2328"/>
    <w:rsid w:val="003D2B50"/>
    <w:rsid w:val="003D343C"/>
    <w:rsid w:val="003D386A"/>
    <w:rsid w:val="003D3E35"/>
    <w:rsid w:val="003D41D2"/>
    <w:rsid w:val="003D4352"/>
    <w:rsid w:val="003D45A3"/>
    <w:rsid w:val="003D4FE8"/>
    <w:rsid w:val="003D54CF"/>
    <w:rsid w:val="003D5C4D"/>
    <w:rsid w:val="003D5EB5"/>
    <w:rsid w:val="003D5EB8"/>
    <w:rsid w:val="003D6104"/>
    <w:rsid w:val="003D680C"/>
    <w:rsid w:val="003D7167"/>
    <w:rsid w:val="003D7514"/>
    <w:rsid w:val="003D782F"/>
    <w:rsid w:val="003E0C3B"/>
    <w:rsid w:val="003E0EE8"/>
    <w:rsid w:val="003E1543"/>
    <w:rsid w:val="003E1848"/>
    <w:rsid w:val="003E199C"/>
    <w:rsid w:val="003E1E96"/>
    <w:rsid w:val="003E226B"/>
    <w:rsid w:val="003E28C1"/>
    <w:rsid w:val="003E4114"/>
    <w:rsid w:val="003E4423"/>
    <w:rsid w:val="003E45CB"/>
    <w:rsid w:val="003E475B"/>
    <w:rsid w:val="003E4856"/>
    <w:rsid w:val="003E4866"/>
    <w:rsid w:val="003E4DF4"/>
    <w:rsid w:val="003E50C5"/>
    <w:rsid w:val="003E65D4"/>
    <w:rsid w:val="003E66A5"/>
    <w:rsid w:val="003E794E"/>
    <w:rsid w:val="003E7E1F"/>
    <w:rsid w:val="003E7E34"/>
    <w:rsid w:val="003F0F48"/>
    <w:rsid w:val="003F13E5"/>
    <w:rsid w:val="003F1BE0"/>
    <w:rsid w:val="003F1CCB"/>
    <w:rsid w:val="003F23A4"/>
    <w:rsid w:val="003F2998"/>
    <w:rsid w:val="003F2BFD"/>
    <w:rsid w:val="003F35BD"/>
    <w:rsid w:val="003F3E62"/>
    <w:rsid w:val="003F443B"/>
    <w:rsid w:val="003F4BE0"/>
    <w:rsid w:val="003F584F"/>
    <w:rsid w:val="003F5B03"/>
    <w:rsid w:val="003F5C1D"/>
    <w:rsid w:val="003F632C"/>
    <w:rsid w:val="003F64C0"/>
    <w:rsid w:val="003F66CA"/>
    <w:rsid w:val="003F763E"/>
    <w:rsid w:val="00400196"/>
    <w:rsid w:val="00401582"/>
    <w:rsid w:val="0040288C"/>
    <w:rsid w:val="004028E7"/>
    <w:rsid w:val="00402DB2"/>
    <w:rsid w:val="00402ECE"/>
    <w:rsid w:val="0040316E"/>
    <w:rsid w:val="00403BCE"/>
    <w:rsid w:val="0040416F"/>
    <w:rsid w:val="004043DE"/>
    <w:rsid w:val="0040458F"/>
    <w:rsid w:val="0040484D"/>
    <w:rsid w:val="004048FC"/>
    <w:rsid w:val="00404BD2"/>
    <w:rsid w:val="004062F3"/>
    <w:rsid w:val="00406495"/>
    <w:rsid w:val="00406BF5"/>
    <w:rsid w:val="004070BE"/>
    <w:rsid w:val="00407341"/>
    <w:rsid w:val="00407620"/>
    <w:rsid w:val="0040799C"/>
    <w:rsid w:val="00407C26"/>
    <w:rsid w:val="00410135"/>
    <w:rsid w:val="00410AA4"/>
    <w:rsid w:val="004119BC"/>
    <w:rsid w:val="00411D94"/>
    <w:rsid w:val="004124E0"/>
    <w:rsid w:val="00412791"/>
    <w:rsid w:val="0041297F"/>
    <w:rsid w:val="00412DA2"/>
    <w:rsid w:val="0041367B"/>
    <w:rsid w:val="00413906"/>
    <w:rsid w:val="0041407C"/>
    <w:rsid w:val="004148DC"/>
    <w:rsid w:val="00414939"/>
    <w:rsid w:val="00414AA9"/>
    <w:rsid w:val="00414B55"/>
    <w:rsid w:val="00414BFD"/>
    <w:rsid w:val="00414FB0"/>
    <w:rsid w:val="004155AA"/>
    <w:rsid w:val="00415BEB"/>
    <w:rsid w:val="004160ED"/>
    <w:rsid w:val="0041613A"/>
    <w:rsid w:val="0041627A"/>
    <w:rsid w:val="004165B7"/>
    <w:rsid w:val="00416AA6"/>
    <w:rsid w:val="00416AE1"/>
    <w:rsid w:val="00417526"/>
    <w:rsid w:val="004179CE"/>
    <w:rsid w:val="00417C0D"/>
    <w:rsid w:val="00417DB3"/>
    <w:rsid w:val="00420314"/>
    <w:rsid w:val="0042185F"/>
    <w:rsid w:val="004220CA"/>
    <w:rsid w:val="004223EF"/>
    <w:rsid w:val="00422435"/>
    <w:rsid w:val="00422588"/>
    <w:rsid w:val="00422998"/>
    <w:rsid w:val="00422F89"/>
    <w:rsid w:val="00423456"/>
    <w:rsid w:val="004239CD"/>
    <w:rsid w:val="00423F77"/>
    <w:rsid w:val="0042414F"/>
    <w:rsid w:val="00424B48"/>
    <w:rsid w:val="00426C1E"/>
    <w:rsid w:val="00426D24"/>
    <w:rsid w:val="00426FA4"/>
    <w:rsid w:val="004273B1"/>
    <w:rsid w:val="00427C98"/>
    <w:rsid w:val="004300E4"/>
    <w:rsid w:val="004301E0"/>
    <w:rsid w:val="0043057F"/>
    <w:rsid w:val="0043092B"/>
    <w:rsid w:val="0043095E"/>
    <w:rsid w:val="00430BE3"/>
    <w:rsid w:val="00430CB2"/>
    <w:rsid w:val="0043173B"/>
    <w:rsid w:val="0043181E"/>
    <w:rsid w:val="00431AD1"/>
    <w:rsid w:val="00431BA7"/>
    <w:rsid w:val="00431D3E"/>
    <w:rsid w:val="00431EC4"/>
    <w:rsid w:val="00431EDB"/>
    <w:rsid w:val="00432355"/>
    <w:rsid w:val="004323BC"/>
    <w:rsid w:val="00432C1C"/>
    <w:rsid w:val="00432F57"/>
    <w:rsid w:val="00433159"/>
    <w:rsid w:val="004331FD"/>
    <w:rsid w:val="00433400"/>
    <w:rsid w:val="00433797"/>
    <w:rsid w:val="004339A2"/>
    <w:rsid w:val="00433A18"/>
    <w:rsid w:val="00433A33"/>
    <w:rsid w:val="004340F8"/>
    <w:rsid w:val="0043418C"/>
    <w:rsid w:val="0043419C"/>
    <w:rsid w:val="004346DF"/>
    <w:rsid w:val="004347A1"/>
    <w:rsid w:val="00434BAB"/>
    <w:rsid w:val="004354DA"/>
    <w:rsid w:val="00435A7C"/>
    <w:rsid w:val="00435E8C"/>
    <w:rsid w:val="00435F00"/>
    <w:rsid w:val="004365DF"/>
    <w:rsid w:val="004366CE"/>
    <w:rsid w:val="004369EC"/>
    <w:rsid w:val="004372EC"/>
    <w:rsid w:val="0043765D"/>
    <w:rsid w:val="00437A3C"/>
    <w:rsid w:val="00440377"/>
    <w:rsid w:val="004409EB"/>
    <w:rsid w:val="00440ABD"/>
    <w:rsid w:val="00440D10"/>
    <w:rsid w:val="004418DD"/>
    <w:rsid w:val="00441D50"/>
    <w:rsid w:val="00441E6E"/>
    <w:rsid w:val="00442709"/>
    <w:rsid w:val="00442917"/>
    <w:rsid w:val="00442B6A"/>
    <w:rsid w:val="00442C8E"/>
    <w:rsid w:val="00442DE4"/>
    <w:rsid w:val="00445833"/>
    <w:rsid w:val="00445A6B"/>
    <w:rsid w:val="00445F82"/>
    <w:rsid w:val="00446892"/>
    <w:rsid w:val="00446B36"/>
    <w:rsid w:val="00446ECB"/>
    <w:rsid w:val="0044704C"/>
    <w:rsid w:val="004471C0"/>
    <w:rsid w:val="0045007C"/>
    <w:rsid w:val="0045028A"/>
    <w:rsid w:val="00450639"/>
    <w:rsid w:val="004507D2"/>
    <w:rsid w:val="00451045"/>
    <w:rsid w:val="0045150A"/>
    <w:rsid w:val="00451800"/>
    <w:rsid w:val="00452437"/>
    <w:rsid w:val="00452453"/>
    <w:rsid w:val="00452C5F"/>
    <w:rsid w:val="00452E76"/>
    <w:rsid w:val="00453055"/>
    <w:rsid w:val="00453083"/>
    <w:rsid w:val="00453FDD"/>
    <w:rsid w:val="004541A0"/>
    <w:rsid w:val="00454326"/>
    <w:rsid w:val="00455BC3"/>
    <w:rsid w:val="00455D38"/>
    <w:rsid w:val="00456200"/>
    <w:rsid w:val="00456683"/>
    <w:rsid w:val="004566AE"/>
    <w:rsid w:val="00457F68"/>
    <w:rsid w:val="0046034F"/>
    <w:rsid w:val="00460823"/>
    <w:rsid w:val="00460A9F"/>
    <w:rsid w:val="00460B75"/>
    <w:rsid w:val="00460FA5"/>
    <w:rsid w:val="00461063"/>
    <w:rsid w:val="00461839"/>
    <w:rsid w:val="0046367C"/>
    <w:rsid w:val="00464486"/>
    <w:rsid w:val="00464646"/>
    <w:rsid w:val="00464BB0"/>
    <w:rsid w:val="00464D8B"/>
    <w:rsid w:val="00464E9C"/>
    <w:rsid w:val="00465E2E"/>
    <w:rsid w:val="004661A6"/>
    <w:rsid w:val="00466329"/>
    <w:rsid w:val="00466775"/>
    <w:rsid w:val="004671C7"/>
    <w:rsid w:val="004704F1"/>
    <w:rsid w:val="0047053B"/>
    <w:rsid w:val="004705EE"/>
    <w:rsid w:val="00470663"/>
    <w:rsid w:val="00470E00"/>
    <w:rsid w:val="004719A7"/>
    <w:rsid w:val="004719C6"/>
    <w:rsid w:val="00471D9C"/>
    <w:rsid w:val="0047200C"/>
    <w:rsid w:val="00472786"/>
    <w:rsid w:val="0047282D"/>
    <w:rsid w:val="00472F96"/>
    <w:rsid w:val="004733B3"/>
    <w:rsid w:val="0047401F"/>
    <w:rsid w:val="0047448F"/>
    <w:rsid w:val="00474521"/>
    <w:rsid w:val="004754F5"/>
    <w:rsid w:val="00475885"/>
    <w:rsid w:val="0047597F"/>
    <w:rsid w:val="00475A04"/>
    <w:rsid w:val="00475A58"/>
    <w:rsid w:val="00475ACF"/>
    <w:rsid w:val="0047601A"/>
    <w:rsid w:val="0047615C"/>
    <w:rsid w:val="004765F5"/>
    <w:rsid w:val="00476995"/>
    <w:rsid w:val="00477815"/>
    <w:rsid w:val="00477B0C"/>
    <w:rsid w:val="004806EB"/>
    <w:rsid w:val="00480832"/>
    <w:rsid w:val="00480AB2"/>
    <w:rsid w:val="00480B2D"/>
    <w:rsid w:val="00480BDA"/>
    <w:rsid w:val="0048142C"/>
    <w:rsid w:val="0048150C"/>
    <w:rsid w:val="004815FA"/>
    <w:rsid w:val="00483528"/>
    <w:rsid w:val="004836DF"/>
    <w:rsid w:val="00484A73"/>
    <w:rsid w:val="00484FD6"/>
    <w:rsid w:val="00485808"/>
    <w:rsid w:val="00485925"/>
    <w:rsid w:val="0048592C"/>
    <w:rsid w:val="00485E28"/>
    <w:rsid w:val="00486651"/>
    <w:rsid w:val="0048665D"/>
    <w:rsid w:val="004866C0"/>
    <w:rsid w:val="00487BB8"/>
    <w:rsid w:val="00490238"/>
    <w:rsid w:val="004908B5"/>
    <w:rsid w:val="00490D5D"/>
    <w:rsid w:val="00491136"/>
    <w:rsid w:val="004913C9"/>
    <w:rsid w:val="0049173E"/>
    <w:rsid w:val="004917EB"/>
    <w:rsid w:val="004919FD"/>
    <w:rsid w:val="00491A2E"/>
    <w:rsid w:val="00491B38"/>
    <w:rsid w:val="00491D26"/>
    <w:rsid w:val="00492060"/>
    <w:rsid w:val="004920DD"/>
    <w:rsid w:val="004920FD"/>
    <w:rsid w:val="00492652"/>
    <w:rsid w:val="004927C0"/>
    <w:rsid w:val="00492A55"/>
    <w:rsid w:val="00493C70"/>
    <w:rsid w:val="004944D3"/>
    <w:rsid w:val="00494600"/>
    <w:rsid w:val="004957DE"/>
    <w:rsid w:val="00495F8E"/>
    <w:rsid w:val="00496E05"/>
    <w:rsid w:val="0049702A"/>
    <w:rsid w:val="004A0509"/>
    <w:rsid w:val="004A09D2"/>
    <w:rsid w:val="004A0A36"/>
    <w:rsid w:val="004A0D24"/>
    <w:rsid w:val="004A1082"/>
    <w:rsid w:val="004A2888"/>
    <w:rsid w:val="004A2B32"/>
    <w:rsid w:val="004A2D03"/>
    <w:rsid w:val="004A312F"/>
    <w:rsid w:val="004A349D"/>
    <w:rsid w:val="004A3E60"/>
    <w:rsid w:val="004A3E6D"/>
    <w:rsid w:val="004A429D"/>
    <w:rsid w:val="004A55B9"/>
    <w:rsid w:val="004A62C0"/>
    <w:rsid w:val="004A69D3"/>
    <w:rsid w:val="004A6A7F"/>
    <w:rsid w:val="004A71D0"/>
    <w:rsid w:val="004A7548"/>
    <w:rsid w:val="004B0F03"/>
    <w:rsid w:val="004B11F0"/>
    <w:rsid w:val="004B16CC"/>
    <w:rsid w:val="004B1B14"/>
    <w:rsid w:val="004B2001"/>
    <w:rsid w:val="004B2B0B"/>
    <w:rsid w:val="004B328A"/>
    <w:rsid w:val="004B3BD1"/>
    <w:rsid w:val="004B3F75"/>
    <w:rsid w:val="004B4104"/>
    <w:rsid w:val="004B47D7"/>
    <w:rsid w:val="004B4EF4"/>
    <w:rsid w:val="004B5897"/>
    <w:rsid w:val="004B5BED"/>
    <w:rsid w:val="004B5FF6"/>
    <w:rsid w:val="004B6254"/>
    <w:rsid w:val="004B63CE"/>
    <w:rsid w:val="004B6493"/>
    <w:rsid w:val="004B6787"/>
    <w:rsid w:val="004B6A02"/>
    <w:rsid w:val="004B6E51"/>
    <w:rsid w:val="004B7287"/>
    <w:rsid w:val="004C11A7"/>
    <w:rsid w:val="004C1217"/>
    <w:rsid w:val="004C20C9"/>
    <w:rsid w:val="004C22CA"/>
    <w:rsid w:val="004C2B31"/>
    <w:rsid w:val="004C2BFD"/>
    <w:rsid w:val="004C2D0C"/>
    <w:rsid w:val="004C32EA"/>
    <w:rsid w:val="004C39FB"/>
    <w:rsid w:val="004C3A0B"/>
    <w:rsid w:val="004C4575"/>
    <w:rsid w:val="004C4916"/>
    <w:rsid w:val="004C4B09"/>
    <w:rsid w:val="004C4C02"/>
    <w:rsid w:val="004C4D3E"/>
    <w:rsid w:val="004C5BC9"/>
    <w:rsid w:val="004C5D71"/>
    <w:rsid w:val="004C60DE"/>
    <w:rsid w:val="004C61AE"/>
    <w:rsid w:val="004C6A96"/>
    <w:rsid w:val="004C73EC"/>
    <w:rsid w:val="004C7459"/>
    <w:rsid w:val="004C7B94"/>
    <w:rsid w:val="004C7C25"/>
    <w:rsid w:val="004D00EB"/>
    <w:rsid w:val="004D010E"/>
    <w:rsid w:val="004D1759"/>
    <w:rsid w:val="004D1B07"/>
    <w:rsid w:val="004D1F0B"/>
    <w:rsid w:val="004D221F"/>
    <w:rsid w:val="004D2281"/>
    <w:rsid w:val="004D2654"/>
    <w:rsid w:val="004D2892"/>
    <w:rsid w:val="004D2F53"/>
    <w:rsid w:val="004D307F"/>
    <w:rsid w:val="004D31C9"/>
    <w:rsid w:val="004D32C6"/>
    <w:rsid w:val="004D36C5"/>
    <w:rsid w:val="004D3962"/>
    <w:rsid w:val="004D39E0"/>
    <w:rsid w:val="004D4263"/>
    <w:rsid w:val="004D470F"/>
    <w:rsid w:val="004D476E"/>
    <w:rsid w:val="004D4960"/>
    <w:rsid w:val="004D4A02"/>
    <w:rsid w:val="004D4B80"/>
    <w:rsid w:val="004D4C12"/>
    <w:rsid w:val="004D507D"/>
    <w:rsid w:val="004D52E3"/>
    <w:rsid w:val="004D53A7"/>
    <w:rsid w:val="004D54BC"/>
    <w:rsid w:val="004D5D01"/>
    <w:rsid w:val="004D5D3D"/>
    <w:rsid w:val="004D6532"/>
    <w:rsid w:val="004D65B8"/>
    <w:rsid w:val="004D6626"/>
    <w:rsid w:val="004D78D5"/>
    <w:rsid w:val="004D7B69"/>
    <w:rsid w:val="004D7F1D"/>
    <w:rsid w:val="004E015F"/>
    <w:rsid w:val="004E0C03"/>
    <w:rsid w:val="004E1003"/>
    <w:rsid w:val="004E119B"/>
    <w:rsid w:val="004E128D"/>
    <w:rsid w:val="004E1C44"/>
    <w:rsid w:val="004E1D61"/>
    <w:rsid w:val="004E1ED1"/>
    <w:rsid w:val="004E1F30"/>
    <w:rsid w:val="004E22B6"/>
    <w:rsid w:val="004E239A"/>
    <w:rsid w:val="004E29BB"/>
    <w:rsid w:val="004E3EDD"/>
    <w:rsid w:val="004E4366"/>
    <w:rsid w:val="004E4432"/>
    <w:rsid w:val="004E6FF1"/>
    <w:rsid w:val="004E7226"/>
    <w:rsid w:val="004F16B4"/>
    <w:rsid w:val="004F1933"/>
    <w:rsid w:val="004F1AA4"/>
    <w:rsid w:val="004F30E1"/>
    <w:rsid w:val="004F3AA4"/>
    <w:rsid w:val="004F3E6F"/>
    <w:rsid w:val="004F4200"/>
    <w:rsid w:val="004F4336"/>
    <w:rsid w:val="004F4659"/>
    <w:rsid w:val="004F4685"/>
    <w:rsid w:val="004F48F6"/>
    <w:rsid w:val="004F49A1"/>
    <w:rsid w:val="004F4C8F"/>
    <w:rsid w:val="004F4D9C"/>
    <w:rsid w:val="004F5320"/>
    <w:rsid w:val="004F68A1"/>
    <w:rsid w:val="004F717F"/>
    <w:rsid w:val="004F73C7"/>
    <w:rsid w:val="004F7C97"/>
    <w:rsid w:val="0050057A"/>
    <w:rsid w:val="005007F4"/>
    <w:rsid w:val="005015BB"/>
    <w:rsid w:val="00501824"/>
    <w:rsid w:val="00501CA4"/>
    <w:rsid w:val="005024EE"/>
    <w:rsid w:val="00502A0D"/>
    <w:rsid w:val="005034E1"/>
    <w:rsid w:val="005037B0"/>
    <w:rsid w:val="00503C2E"/>
    <w:rsid w:val="00504C5F"/>
    <w:rsid w:val="00504E8D"/>
    <w:rsid w:val="00505FFB"/>
    <w:rsid w:val="00506059"/>
    <w:rsid w:val="00506610"/>
    <w:rsid w:val="00507666"/>
    <w:rsid w:val="00510BD1"/>
    <w:rsid w:val="0051195C"/>
    <w:rsid w:val="00511DB5"/>
    <w:rsid w:val="005120B4"/>
    <w:rsid w:val="0051326A"/>
    <w:rsid w:val="0051482B"/>
    <w:rsid w:val="00515824"/>
    <w:rsid w:val="0051592E"/>
    <w:rsid w:val="00516A44"/>
    <w:rsid w:val="00516FAB"/>
    <w:rsid w:val="005175A7"/>
    <w:rsid w:val="0052049F"/>
    <w:rsid w:val="00520613"/>
    <w:rsid w:val="00520AFC"/>
    <w:rsid w:val="00520C11"/>
    <w:rsid w:val="00520F19"/>
    <w:rsid w:val="0052144D"/>
    <w:rsid w:val="005216BF"/>
    <w:rsid w:val="00521BF8"/>
    <w:rsid w:val="005229AF"/>
    <w:rsid w:val="00522B0C"/>
    <w:rsid w:val="00522E24"/>
    <w:rsid w:val="00523389"/>
    <w:rsid w:val="005233BE"/>
    <w:rsid w:val="005236C0"/>
    <w:rsid w:val="00523713"/>
    <w:rsid w:val="00523E0B"/>
    <w:rsid w:val="00524617"/>
    <w:rsid w:val="005247FF"/>
    <w:rsid w:val="0052497E"/>
    <w:rsid w:val="00524F62"/>
    <w:rsid w:val="0052503D"/>
    <w:rsid w:val="005260BA"/>
    <w:rsid w:val="005267D8"/>
    <w:rsid w:val="00526ACF"/>
    <w:rsid w:val="00526CB3"/>
    <w:rsid w:val="005271C2"/>
    <w:rsid w:val="005278ED"/>
    <w:rsid w:val="00527934"/>
    <w:rsid w:val="00527A5D"/>
    <w:rsid w:val="00527F12"/>
    <w:rsid w:val="005307F0"/>
    <w:rsid w:val="00531594"/>
    <w:rsid w:val="00531FC7"/>
    <w:rsid w:val="0053217E"/>
    <w:rsid w:val="00532252"/>
    <w:rsid w:val="00532598"/>
    <w:rsid w:val="005330AF"/>
    <w:rsid w:val="00533292"/>
    <w:rsid w:val="00533636"/>
    <w:rsid w:val="00533656"/>
    <w:rsid w:val="00533A4E"/>
    <w:rsid w:val="00533AF3"/>
    <w:rsid w:val="00533C56"/>
    <w:rsid w:val="00534E0B"/>
    <w:rsid w:val="005352EE"/>
    <w:rsid w:val="00535967"/>
    <w:rsid w:val="005368C3"/>
    <w:rsid w:val="00537BDB"/>
    <w:rsid w:val="00537D6F"/>
    <w:rsid w:val="005401E6"/>
    <w:rsid w:val="005408A5"/>
    <w:rsid w:val="005409A3"/>
    <w:rsid w:val="00540CC4"/>
    <w:rsid w:val="00541099"/>
    <w:rsid w:val="005411A5"/>
    <w:rsid w:val="0054184D"/>
    <w:rsid w:val="00541A07"/>
    <w:rsid w:val="00542149"/>
    <w:rsid w:val="0054257A"/>
    <w:rsid w:val="005426D7"/>
    <w:rsid w:val="0054359B"/>
    <w:rsid w:val="005435E2"/>
    <w:rsid w:val="00543724"/>
    <w:rsid w:val="005437D7"/>
    <w:rsid w:val="00543A87"/>
    <w:rsid w:val="00544AFB"/>
    <w:rsid w:val="00545354"/>
    <w:rsid w:val="0054558C"/>
    <w:rsid w:val="00546047"/>
    <w:rsid w:val="00546594"/>
    <w:rsid w:val="0054798B"/>
    <w:rsid w:val="00547A5E"/>
    <w:rsid w:val="00547A98"/>
    <w:rsid w:val="00550788"/>
    <w:rsid w:val="00550E9E"/>
    <w:rsid w:val="0055124C"/>
    <w:rsid w:val="00551B07"/>
    <w:rsid w:val="0055433F"/>
    <w:rsid w:val="00554967"/>
    <w:rsid w:val="0055500A"/>
    <w:rsid w:val="00556321"/>
    <w:rsid w:val="0055634B"/>
    <w:rsid w:val="0055654C"/>
    <w:rsid w:val="00556764"/>
    <w:rsid w:val="00556837"/>
    <w:rsid w:val="00556E04"/>
    <w:rsid w:val="005575F8"/>
    <w:rsid w:val="00557DA1"/>
    <w:rsid w:val="00560808"/>
    <w:rsid w:val="00560F67"/>
    <w:rsid w:val="005611F7"/>
    <w:rsid w:val="0056139F"/>
    <w:rsid w:val="0056156F"/>
    <w:rsid w:val="005615C4"/>
    <w:rsid w:val="005617AF"/>
    <w:rsid w:val="0056199E"/>
    <w:rsid w:val="00561CD1"/>
    <w:rsid w:val="00562241"/>
    <w:rsid w:val="0056298D"/>
    <w:rsid w:val="00562AC3"/>
    <w:rsid w:val="00562F23"/>
    <w:rsid w:val="005635AF"/>
    <w:rsid w:val="00563BFA"/>
    <w:rsid w:val="00563DF7"/>
    <w:rsid w:val="00564146"/>
    <w:rsid w:val="0056437B"/>
    <w:rsid w:val="005643F9"/>
    <w:rsid w:val="00564E4B"/>
    <w:rsid w:val="0056541C"/>
    <w:rsid w:val="00565FF2"/>
    <w:rsid w:val="0056618B"/>
    <w:rsid w:val="00566259"/>
    <w:rsid w:val="00567027"/>
    <w:rsid w:val="005674A8"/>
    <w:rsid w:val="00567B9F"/>
    <w:rsid w:val="00567EBA"/>
    <w:rsid w:val="005705FB"/>
    <w:rsid w:val="00570C24"/>
    <w:rsid w:val="00571869"/>
    <w:rsid w:val="0057279E"/>
    <w:rsid w:val="005727CE"/>
    <w:rsid w:val="005729CA"/>
    <w:rsid w:val="00572B83"/>
    <w:rsid w:val="00573DB4"/>
    <w:rsid w:val="00573F7C"/>
    <w:rsid w:val="005746BA"/>
    <w:rsid w:val="0057472F"/>
    <w:rsid w:val="0057495D"/>
    <w:rsid w:val="00574B14"/>
    <w:rsid w:val="00574C86"/>
    <w:rsid w:val="00575FB8"/>
    <w:rsid w:val="00576164"/>
    <w:rsid w:val="00576550"/>
    <w:rsid w:val="00577461"/>
    <w:rsid w:val="00577606"/>
    <w:rsid w:val="005779DB"/>
    <w:rsid w:val="00577B13"/>
    <w:rsid w:val="00577B50"/>
    <w:rsid w:val="00580186"/>
    <w:rsid w:val="0058018B"/>
    <w:rsid w:val="00580217"/>
    <w:rsid w:val="00580288"/>
    <w:rsid w:val="0058039C"/>
    <w:rsid w:val="00580778"/>
    <w:rsid w:val="005808D1"/>
    <w:rsid w:val="00580C92"/>
    <w:rsid w:val="00581073"/>
    <w:rsid w:val="00581478"/>
    <w:rsid w:val="00581DF0"/>
    <w:rsid w:val="00582AC1"/>
    <w:rsid w:val="00582ECF"/>
    <w:rsid w:val="00582FEA"/>
    <w:rsid w:val="005830F2"/>
    <w:rsid w:val="005834A8"/>
    <w:rsid w:val="0058362D"/>
    <w:rsid w:val="0058394D"/>
    <w:rsid w:val="00583F99"/>
    <w:rsid w:val="0058424B"/>
    <w:rsid w:val="005845B9"/>
    <w:rsid w:val="005845E8"/>
    <w:rsid w:val="005847B3"/>
    <w:rsid w:val="005855E0"/>
    <w:rsid w:val="005858D1"/>
    <w:rsid w:val="0058663C"/>
    <w:rsid w:val="005867B5"/>
    <w:rsid w:val="005875D0"/>
    <w:rsid w:val="00587C17"/>
    <w:rsid w:val="005908CA"/>
    <w:rsid w:val="00590BDC"/>
    <w:rsid w:val="00590C21"/>
    <w:rsid w:val="005912CD"/>
    <w:rsid w:val="00593BB8"/>
    <w:rsid w:val="00593EC3"/>
    <w:rsid w:val="005941A1"/>
    <w:rsid w:val="00594226"/>
    <w:rsid w:val="00594C03"/>
    <w:rsid w:val="005956E3"/>
    <w:rsid w:val="005959C5"/>
    <w:rsid w:val="00595E0D"/>
    <w:rsid w:val="00596045"/>
    <w:rsid w:val="00596429"/>
    <w:rsid w:val="0059679F"/>
    <w:rsid w:val="00596974"/>
    <w:rsid w:val="00596B1B"/>
    <w:rsid w:val="0059708B"/>
    <w:rsid w:val="005A0AA2"/>
    <w:rsid w:val="005A0B13"/>
    <w:rsid w:val="005A172E"/>
    <w:rsid w:val="005A1B7D"/>
    <w:rsid w:val="005A2FF4"/>
    <w:rsid w:val="005A301C"/>
    <w:rsid w:val="005A3467"/>
    <w:rsid w:val="005A3CFC"/>
    <w:rsid w:val="005A4775"/>
    <w:rsid w:val="005A4E5C"/>
    <w:rsid w:val="005A4E78"/>
    <w:rsid w:val="005A4F34"/>
    <w:rsid w:val="005A528B"/>
    <w:rsid w:val="005A5383"/>
    <w:rsid w:val="005A564D"/>
    <w:rsid w:val="005A584A"/>
    <w:rsid w:val="005A5BB4"/>
    <w:rsid w:val="005A5C7D"/>
    <w:rsid w:val="005A5F01"/>
    <w:rsid w:val="005A606D"/>
    <w:rsid w:val="005A6335"/>
    <w:rsid w:val="005A68E1"/>
    <w:rsid w:val="005A6AC8"/>
    <w:rsid w:val="005A6FF0"/>
    <w:rsid w:val="005A706D"/>
    <w:rsid w:val="005A7198"/>
    <w:rsid w:val="005A7708"/>
    <w:rsid w:val="005B0748"/>
    <w:rsid w:val="005B085B"/>
    <w:rsid w:val="005B08AF"/>
    <w:rsid w:val="005B09A9"/>
    <w:rsid w:val="005B0E08"/>
    <w:rsid w:val="005B13E1"/>
    <w:rsid w:val="005B1FD6"/>
    <w:rsid w:val="005B201B"/>
    <w:rsid w:val="005B211D"/>
    <w:rsid w:val="005B3BDC"/>
    <w:rsid w:val="005B46D6"/>
    <w:rsid w:val="005B4704"/>
    <w:rsid w:val="005B47D7"/>
    <w:rsid w:val="005B52F8"/>
    <w:rsid w:val="005B6508"/>
    <w:rsid w:val="005B6540"/>
    <w:rsid w:val="005B7045"/>
    <w:rsid w:val="005B787C"/>
    <w:rsid w:val="005C04CC"/>
    <w:rsid w:val="005C1402"/>
    <w:rsid w:val="005C1B95"/>
    <w:rsid w:val="005C2783"/>
    <w:rsid w:val="005C29EB"/>
    <w:rsid w:val="005C2A5E"/>
    <w:rsid w:val="005C2B72"/>
    <w:rsid w:val="005C34A6"/>
    <w:rsid w:val="005C48A9"/>
    <w:rsid w:val="005C4F2D"/>
    <w:rsid w:val="005C52E4"/>
    <w:rsid w:val="005C650F"/>
    <w:rsid w:val="005C6BF6"/>
    <w:rsid w:val="005C71EE"/>
    <w:rsid w:val="005D0073"/>
    <w:rsid w:val="005D0284"/>
    <w:rsid w:val="005D081D"/>
    <w:rsid w:val="005D0946"/>
    <w:rsid w:val="005D0E1E"/>
    <w:rsid w:val="005D10EF"/>
    <w:rsid w:val="005D1757"/>
    <w:rsid w:val="005D1954"/>
    <w:rsid w:val="005D1F0A"/>
    <w:rsid w:val="005D1FAB"/>
    <w:rsid w:val="005D2D24"/>
    <w:rsid w:val="005D2EE3"/>
    <w:rsid w:val="005D3672"/>
    <w:rsid w:val="005D3EFC"/>
    <w:rsid w:val="005D454C"/>
    <w:rsid w:val="005D46FD"/>
    <w:rsid w:val="005D47EB"/>
    <w:rsid w:val="005D499C"/>
    <w:rsid w:val="005D49EE"/>
    <w:rsid w:val="005D505A"/>
    <w:rsid w:val="005D61D2"/>
    <w:rsid w:val="005D63A2"/>
    <w:rsid w:val="005D69CA"/>
    <w:rsid w:val="005D76F7"/>
    <w:rsid w:val="005D7D2C"/>
    <w:rsid w:val="005D7D9C"/>
    <w:rsid w:val="005E05D5"/>
    <w:rsid w:val="005E08E5"/>
    <w:rsid w:val="005E0BC4"/>
    <w:rsid w:val="005E0DE4"/>
    <w:rsid w:val="005E102B"/>
    <w:rsid w:val="005E136D"/>
    <w:rsid w:val="005E1389"/>
    <w:rsid w:val="005E1DC7"/>
    <w:rsid w:val="005E21E7"/>
    <w:rsid w:val="005E22CE"/>
    <w:rsid w:val="005E2BCB"/>
    <w:rsid w:val="005E2CEB"/>
    <w:rsid w:val="005E2F19"/>
    <w:rsid w:val="005E3146"/>
    <w:rsid w:val="005E3DCA"/>
    <w:rsid w:val="005E497F"/>
    <w:rsid w:val="005E4FC2"/>
    <w:rsid w:val="005E5679"/>
    <w:rsid w:val="005E57EB"/>
    <w:rsid w:val="005E5E20"/>
    <w:rsid w:val="005E6749"/>
    <w:rsid w:val="005E6B26"/>
    <w:rsid w:val="005E6D78"/>
    <w:rsid w:val="005E7053"/>
    <w:rsid w:val="005E75AC"/>
    <w:rsid w:val="005E790E"/>
    <w:rsid w:val="005F0AE1"/>
    <w:rsid w:val="005F2118"/>
    <w:rsid w:val="005F2830"/>
    <w:rsid w:val="005F2D73"/>
    <w:rsid w:val="005F310E"/>
    <w:rsid w:val="005F31CD"/>
    <w:rsid w:val="005F3938"/>
    <w:rsid w:val="005F3C5F"/>
    <w:rsid w:val="005F3F98"/>
    <w:rsid w:val="005F475C"/>
    <w:rsid w:val="005F4920"/>
    <w:rsid w:val="005F519C"/>
    <w:rsid w:val="005F5279"/>
    <w:rsid w:val="005F562F"/>
    <w:rsid w:val="005F5918"/>
    <w:rsid w:val="005F61E5"/>
    <w:rsid w:val="005F6C87"/>
    <w:rsid w:val="005F6D17"/>
    <w:rsid w:val="005F6FF1"/>
    <w:rsid w:val="005F74D1"/>
    <w:rsid w:val="005F764F"/>
    <w:rsid w:val="005F7896"/>
    <w:rsid w:val="005F7A7C"/>
    <w:rsid w:val="00600ED0"/>
    <w:rsid w:val="006012DF"/>
    <w:rsid w:val="006018EF"/>
    <w:rsid w:val="00601A13"/>
    <w:rsid w:val="00601AE4"/>
    <w:rsid w:val="00601E18"/>
    <w:rsid w:val="00602219"/>
    <w:rsid w:val="00602376"/>
    <w:rsid w:val="0060247D"/>
    <w:rsid w:val="006026C1"/>
    <w:rsid w:val="006030F5"/>
    <w:rsid w:val="00603527"/>
    <w:rsid w:val="00603EE1"/>
    <w:rsid w:val="0060401C"/>
    <w:rsid w:val="0060413D"/>
    <w:rsid w:val="00604550"/>
    <w:rsid w:val="00605A42"/>
    <w:rsid w:val="00605FF5"/>
    <w:rsid w:val="006065D8"/>
    <w:rsid w:val="0060661F"/>
    <w:rsid w:val="006067C1"/>
    <w:rsid w:val="0060788D"/>
    <w:rsid w:val="00607A82"/>
    <w:rsid w:val="00607CA2"/>
    <w:rsid w:val="00610793"/>
    <w:rsid w:val="00610985"/>
    <w:rsid w:val="00610A49"/>
    <w:rsid w:val="00611291"/>
    <w:rsid w:val="006114C1"/>
    <w:rsid w:val="00611852"/>
    <w:rsid w:val="00611C6D"/>
    <w:rsid w:val="00612213"/>
    <w:rsid w:val="006123AB"/>
    <w:rsid w:val="0061255A"/>
    <w:rsid w:val="006128A2"/>
    <w:rsid w:val="00612C61"/>
    <w:rsid w:val="0061328D"/>
    <w:rsid w:val="006137D8"/>
    <w:rsid w:val="00613CD0"/>
    <w:rsid w:val="0061437C"/>
    <w:rsid w:val="00614519"/>
    <w:rsid w:val="0061459F"/>
    <w:rsid w:val="006145AC"/>
    <w:rsid w:val="0061557C"/>
    <w:rsid w:val="0061582B"/>
    <w:rsid w:val="00615DE9"/>
    <w:rsid w:val="006160C5"/>
    <w:rsid w:val="006169E4"/>
    <w:rsid w:val="00617871"/>
    <w:rsid w:val="00617AB1"/>
    <w:rsid w:val="00617E8A"/>
    <w:rsid w:val="0062052C"/>
    <w:rsid w:val="00620E2D"/>
    <w:rsid w:val="00621293"/>
    <w:rsid w:val="006212BF"/>
    <w:rsid w:val="00621616"/>
    <w:rsid w:val="00621710"/>
    <w:rsid w:val="00621754"/>
    <w:rsid w:val="00621ACD"/>
    <w:rsid w:val="006220BF"/>
    <w:rsid w:val="00622671"/>
    <w:rsid w:val="00622C7A"/>
    <w:rsid w:val="00622E7B"/>
    <w:rsid w:val="006233E3"/>
    <w:rsid w:val="006239A8"/>
    <w:rsid w:val="00623A8F"/>
    <w:rsid w:val="00623BC9"/>
    <w:rsid w:val="00623E80"/>
    <w:rsid w:val="00624022"/>
    <w:rsid w:val="00624067"/>
    <w:rsid w:val="00625797"/>
    <w:rsid w:val="006258CC"/>
    <w:rsid w:val="006271B5"/>
    <w:rsid w:val="006272C8"/>
    <w:rsid w:val="00627D27"/>
    <w:rsid w:val="00630690"/>
    <w:rsid w:val="00630F7C"/>
    <w:rsid w:val="006314E7"/>
    <w:rsid w:val="006316FD"/>
    <w:rsid w:val="00631F1F"/>
    <w:rsid w:val="006329AC"/>
    <w:rsid w:val="006329D5"/>
    <w:rsid w:val="00633370"/>
    <w:rsid w:val="00633B04"/>
    <w:rsid w:val="00634258"/>
    <w:rsid w:val="00634319"/>
    <w:rsid w:val="00634352"/>
    <w:rsid w:val="00634B53"/>
    <w:rsid w:val="00634FDC"/>
    <w:rsid w:val="00635AC7"/>
    <w:rsid w:val="00635DD9"/>
    <w:rsid w:val="006362DE"/>
    <w:rsid w:val="00636E02"/>
    <w:rsid w:val="006374E9"/>
    <w:rsid w:val="0063769F"/>
    <w:rsid w:val="006406E7"/>
    <w:rsid w:val="006407E0"/>
    <w:rsid w:val="00640DC5"/>
    <w:rsid w:val="00641109"/>
    <w:rsid w:val="00641B2D"/>
    <w:rsid w:val="00641B84"/>
    <w:rsid w:val="00641DBE"/>
    <w:rsid w:val="00643285"/>
    <w:rsid w:val="00643598"/>
    <w:rsid w:val="006435BC"/>
    <w:rsid w:val="00644474"/>
    <w:rsid w:val="0064509E"/>
    <w:rsid w:val="0064517D"/>
    <w:rsid w:val="00645628"/>
    <w:rsid w:val="00645728"/>
    <w:rsid w:val="006457E9"/>
    <w:rsid w:val="00646312"/>
    <w:rsid w:val="0064704E"/>
    <w:rsid w:val="00647D8E"/>
    <w:rsid w:val="006508A0"/>
    <w:rsid w:val="00650D1A"/>
    <w:rsid w:val="0065110E"/>
    <w:rsid w:val="00651599"/>
    <w:rsid w:val="006528FC"/>
    <w:rsid w:val="00653411"/>
    <w:rsid w:val="0065341F"/>
    <w:rsid w:val="00653429"/>
    <w:rsid w:val="00654098"/>
    <w:rsid w:val="00654892"/>
    <w:rsid w:val="0065538E"/>
    <w:rsid w:val="00655DD6"/>
    <w:rsid w:val="006562CB"/>
    <w:rsid w:val="006564AD"/>
    <w:rsid w:val="0065650D"/>
    <w:rsid w:val="00656E2F"/>
    <w:rsid w:val="006574D2"/>
    <w:rsid w:val="006600CB"/>
    <w:rsid w:val="006601C6"/>
    <w:rsid w:val="0066020D"/>
    <w:rsid w:val="006606C8"/>
    <w:rsid w:val="00660E36"/>
    <w:rsid w:val="00661431"/>
    <w:rsid w:val="006616D7"/>
    <w:rsid w:val="00661D03"/>
    <w:rsid w:val="00661E18"/>
    <w:rsid w:val="00661EE3"/>
    <w:rsid w:val="006625FD"/>
    <w:rsid w:val="006631E3"/>
    <w:rsid w:val="00663A78"/>
    <w:rsid w:val="00664978"/>
    <w:rsid w:val="00664C3B"/>
    <w:rsid w:val="00664E0A"/>
    <w:rsid w:val="00665275"/>
    <w:rsid w:val="00665D86"/>
    <w:rsid w:val="006660F5"/>
    <w:rsid w:val="006661EC"/>
    <w:rsid w:val="0066625C"/>
    <w:rsid w:val="00666D7D"/>
    <w:rsid w:val="006670C5"/>
    <w:rsid w:val="00667182"/>
    <w:rsid w:val="00667254"/>
    <w:rsid w:val="00667992"/>
    <w:rsid w:val="0067007C"/>
    <w:rsid w:val="0067039A"/>
    <w:rsid w:val="006705AC"/>
    <w:rsid w:val="00671DD1"/>
    <w:rsid w:val="00672724"/>
    <w:rsid w:val="006728DE"/>
    <w:rsid w:val="00674F4D"/>
    <w:rsid w:val="006756A9"/>
    <w:rsid w:val="00675818"/>
    <w:rsid w:val="00675B7D"/>
    <w:rsid w:val="00675CFA"/>
    <w:rsid w:val="00675FE1"/>
    <w:rsid w:val="0067647C"/>
    <w:rsid w:val="0067743D"/>
    <w:rsid w:val="00677BE1"/>
    <w:rsid w:val="00680075"/>
    <w:rsid w:val="006803B6"/>
    <w:rsid w:val="00680E40"/>
    <w:rsid w:val="00680FAA"/>
    <w:rsid w:val="00681195"/>
    <w:rsid w:val="0068198A"/>
    <w:rsid w:val="00682BA2"/>
    <w:rsid w:val="006832E5"/>
    <w:rsid w:val="006832E7"/>
    <w:rsid w:val="0068373C"/>
    <w:rsid w:val="00683FFD"/>
    <w:rsid w:val="0068440E"/>
    <w:rsid w:val="0068452A"/>
    <w:rsid w:val="006845E5"/>
    <w:rsid w:val="00685283"/>
    <w:rsid w:val="006854C9"/>
    <w:rsid w:val="006865ED"/>
    <w:rsid w:val="00686AD8"/>
    <w:rsid w:val="00686ED0"/>
    <w:rsid w:val="00687719"/>
    <w:rsid w:val="00687739"/>
    <w:rsid w:val="00687B23"/>
    <w:rsid w:val="0069088A"/>
    <w:rsid w:val="00691712"/>
    <w:rsid w:val="00691735"/>
    <w:rsid w:val="00691ABA"/>
    <w:rsid w:val="00692787"/>
    <w:rsid w:val="00692C56"/>
    <w:rsid w:val="00692F6C"/>
    <w:rsid w:val="006943E0"/>
    <w:rsid w:val="00694448"/>
    <w:rsid w:val="00694DF3"/>
    <w:rsid w:val="00694E12"/>
    <w:rsid w:val="00694E58"/>
    <w:rsid w:val="0069537E"/>
    <w:rsid w:val="00695F50"/>
    <w:rsid w:val="00696AD2"/>
    <w:rsid w:val="00697140"/>
    <w:rsid w:val="006972E0"/>
    <w:rsid w:val="006975DA"/>
    <w:rsid w:val="00697DA7"/>
    <w:rsid w:val="006A3B10"/>
    <w:rsid w:val="006A5409"/>
    <w:rsid w:val="006A5D5B"/>
    <w:rsid w:val="006A5ED7"/>
    <w:rsid w:val="006A67CF"/>
    <w:rsid w:val="006A6AA1"/>
    <w:rsid w:val="006A6D18"/>
    <w:rsid w:val="006B0422"/>
    <w:rsid w:val="006B042E"/>
    <w:rsid w:val="006B04F5"/>
    <w:rsid w:val="006B0D38"/>
    <w:rsid w:val="006B0F4F"/>
    <w:rsid w:val="006B0FB2"/>
    <w:rsid w:val="006B1CA9"/>
    <w:rsid w:val="006B206E"/>
    <w:rsid w:val="006B2333"/>
    <w:rsid w:val="006B23B7"/>
    <w:rsid w:val="006B23D3"/>
    <w:rsid w:val="006B254B"/>
    <w:rsid w:val="006B2CB1"/>
    <w:rsid w:val="006B2CC6"/>
    <w:rsid w:val="006B305A"/>
    <w:rsid w:val="006B30A9"/>
    <w:rsid w:val="006B3981"/>
    <w:rsid w:val="006B3EE9"/>
    <w:rsid w:val="006B4818"/>
    <w:rsid w:val="006B4BF8"/>
    <w:rsid w:val="006B4C75"/>
    <w:rsid w:val="006B4D70"/>
    <w:rsid w:val="006B50E5"/>
    <w:rsid w:val="006B513C"/>
    <w:rsid w:val="006B515E"/>
    <w:rsid w:val="006B5270"/>
    <w:rsid w:val="006B5351"/>
    <w:rsid w:val="006B56D2"/>
    <w:rsid w:val="006B6326"/>
    <w:rsid w:val="006B6805"/>
    <w:rsid w:val="006B69D8"/>
    <w:rsid w:val="006B6A2C"/>
    <w:rsid w:val="006B6C55"/>
    <w:rsid w:val="006B6D73"/>
    <w:rsid w:val="006B6F4E"/>
    <w:rsid w:val="006B7AE2"/>
    <w:rsid w:val="006B7C7B"/>
    <w:rsid w:val="006C057F"/>
    <w:rsid w:val="006C067E"/>
    <w:rsid w:val="006C09E1"/>
    <w:rsid w:val="006C0CF3"/>
    <w:rsid w:val="006C0F3E"/>
    <w:rsid w:val="006C1038"/>
    <w:rsid w:val="006C1684"/>
    <w:rsid w:val="006C17CD"/>
    <w:rsid w:val="006C18B2"/>
    <w:rsid w:val="006C1A58"/>
    <w:rsid w:val="006C2031"/>
    <w:rsid w:val="006C2377"/>
    <w:rsid w:val="006C241C"/>
    <w:rsid w:val="006C27F5"/>
    <w:rsid w:val="006C2F40"/>
    <w:rsid w:val="006C2FA0"/>
    <w:rsid w:val="006C38DA"/>
    <w:rsid w:val="006C3F94"/>
    <w:rsid w:val="006C4373"/>
    <w:rsid w:val="006C4B62"/>
    <w:rsid w:val="006C5799"/>
    <w:rsid w:val="006C679E"/>
    <w:rsid w:val="006C6805"/>
    <w:rsid w:val="006C683D"/>
    <w:rsid w:val="006C74C9"/>
    <w:rsid w:val="006C786C"/>
    <w:rsid w:val="006D01B8"/>
    <w:rsid w:val="006D050C"/>
    <w:rsid w:val="006D1511"/>
    <w:rsid w:val="006D172B"/>
    <w:rsid w:val="006D1757"/>
    <w:rsid w:val="006D1A85"/>
    <w:rsid w:val="006D1B81"/>
    <w:rsid w:val="006D1EF9"/>
    <w:rsid w:val="006D1F1F"/>
    <w:rsid w:val="006D2399"/>
    <w:rsid w:val="006D254A"/>
    <w:rsid w:val="006D32AE"/>
    <w:rsid w:val="006D3FA0"/>
    <w:rsid w:val="006D46E0"/>
    <w:rsid w:val="006D4F1E"/>
    <w:rsid w:val="006D502E"/>
    <w:rsid w:val="006D5153"/>
    <w:rsid w:val="006D53D8"/>
    <w:rsid w:val="006D5447"/>
    <w:rsid w:val="006D5781"/>
    <w:rsid w:val="006D57F1"/>
    <w:rsid w:val="006D59B8"/>
    <w:rsid w:val="006D7338"/>
    <w:rsid w:val="006E014E"/>
    <w:rsid w:val="006E026D"/>
    <w:rsid w:val="006E0451"/>
    <w:rsid w:val="006E04BB"/>
    <w:rsid w:val="006E09F4"/>
    <w:rsid w:val="006E0A92"/>
    <w:rsid w:val="006E2862"/>
    <w:rsid w:val="006E2DF6"/>
    <w:rsid w:val="006E3C18"/>
    <w:rsid w:val="006E400E"/>
    <w:rsid w:val="006E46E3"/>
    <w:rsid w:val="006E5148"/>
    <w:rsid w:val="006E519E"/>
    <w:rsid w:val="006E52ED"/>
    <w:rsid w:val="006E5C31"/>
    <w:rsid w:val="006E5D3D"/>
    <w:rsid w:val="006E665E"/>
    <w:rsid w:val="006E67A8"/>
    <w:rsid w:val="006E6BA3"/>
    <w:rsid w:val="006E7255"/>
    <w:rsid w:val="006E75EA"/>
    <w:rsid w:val="006E7AEF"/>
    <w:rsid w:val="006F1D06"/>
    <w:rsid w:val="006F25B4"/>
    <w:rsid w:val="006F27D5"/>
    <w:rsid w:val="006F2EEA"/>
    <w:rsid w:val="006F338A"/>
    <w:rsid w:val="006F3397"/>
    <w:rsid w:val="006F449D"/>
    <w:rsid w:val="006F4646"/>
    <w:rsid w:val="006F46BB"/>
    <w:rsid w:val="006F4A64"/>
    <w:rsid w:val="006F5551"/>
    <w:rsid w:val="006F5923"/>
    <w:rsid w:val="006F59DD"/>
    <w:rsid w:val="006F60AF"/>
    <w:rsid w:val="006F6348"/>
    <w:rsid w:val="006F6AF5"/>
    <w:rsid w:val="006F6C77"/>
    <w:rsid w:val="006F7C5E"/>
    <w:rsid w:val="006F7DED"/>
    <w:rsid w:val="007000F2"/>
    <w:rsid w:val="007000FF"/>
    <w:rsid w:val="0070028C"/>
    <w:rsid w:val="00700BC6"/>
    <w:rsid w:val="00700DC0"/>
    <w:rsid w:val="00701D7E"/>
    <w:rsid w:val="00701ED0"/>
    <w:rsid w:val="00701FB2"/>
    <w:rsid w:val="007022EC"/>
    <w:rsid w:val="00702997"/>
    <w:rsid w:val="007033CC"/>
    <w:rsid w:val="007035B1"/>
    <w:rsid w:val="00703805"/>
    <w:rsid w:val="0070494E"/>
    <w:rsid w:val="00704B45"/>
    <w:rsid w:val="00704BEE"/>
    <w:rsid w:val="00704C2E"/>
    <w:rsid w:val="00705007"/>
    <w:rsid w:val="0070533D"/>
    <w:rsid w:val="0070578C"/>
    <w:rsid w:val="00705A31"/>
    <w:rsid w:val="00706645"/>
    <w:rsid w:val="00706D18"/>
    <w:rsid w:val="007075A7"/>
    <w:rsid w:val="00707EA7"/>
    <w:rsid w:val="007102DE"/>
    <w:rsid w:val="00710383"/>
    <w:rsid w:val="00710C96"/>
    <w:rsid w:val="00710D20"/>
    <w:rsid w:val="0071155B"/>
    <w:rsid w:val="00711780"/>
    <w:rsid w:val="0071247A"/>
    <w:rsid w:val="0071253A"/>
    <w:rsid w:val="00713E7C"/>
    <w:rsid w:val="00713EE4"/>
    <w:rsid w:val="007144C6"/>
    <w:rsid w:val="007145DC"/>
    <w:rsid w:val="00714B42"/>
    <w:rsid w:val="00714B4F"/>
    <w:rsid w:val="00714FCC"/>
    <w:rsid w:val="00715FFD"/>
    <w:rsid w:val="007165D4"/>
    <w:rsid w:val="007168D7"/>
    <w:rsid w:val="0071697E"/>
    <w:rsid w:val="00716C75"/>
    <w:rsid w:val="00717894"/>
    <w:rsid w:val="0072070B"/>
    <w:rsid w:val="00720822"/>
    <w:rsid w:val="00720A20"/>
    <w:rsid w:val="00720E37"/>
    <w:rsid w:val="00720F67"/>
    <w:rsid w:val="0072130C"/>
    <w:rsid w:val="00721F32"/>
    <w:rsid w:val="00722A04"/>
    <w:rsid w:val="0072338E"/>
    <w:rsid w:val="007244AB"/>
    <w:rsid w:val="00724F74"/>
    <w:rsid w:val="007258BF"/>
    <w:rsid w:val="007262F8"/>
    <w:rsid w:val="007263A9"/>
    <w:rsid w:val="0072666F"/>
    <w:rsid w:val="00726967"/>
    <w:rsid w:val="00726AEB"/>
    <w:rsid w:val="00726B6E"/>
    <w:rsid w:val="00730113"/>
    <w:rsid w:val="007308BA"/>
    <w:rsid w:val="00732073"/>
    <w:rsid w:val="007324A0"/>
    <w:rsid w:val="0073296D"/>
    <w:rsid w:val="00732D10"/>
    <w:rsid w:val="00732EA3"/>
    <w:rsid w:val="00732FF9"/>
    <w:rsid w:val="007333C4"/>
    <w:rsid w:val="00734FEF"/>
    <w:rsid w:val="00735233"/>
    <w:rsid w:val="00735B90"/>
    <w:rsid w:val="00736084"/>
    <w:rsid w:val="00736645"/>
    <w:rsid w:val="00737FC5"/>
    <w:rsid w:val="0074045E"/>
    <w:rsid w:val="00740D80"/>
    <w:rsid w:val="00741123"/>
    <w:rsid w:val="007414EA"/>
    <w:rsid w:val="007420FF"/>
    <w:rsid w:val="007426AA"/>
    <w:rsid w:val="00743292"/>
    <w:rsid w:val="007435F2"/>
    <w:rsid w:val="00743BA3"/>
    <w:rsid w:val="00743E35"/>
    <w:rsid w:val="00744494"/>
    <w:rsid w:val="007447A0"/>
    <w:rsid w:val="00745B51"/>
    <w:rsid w:val="00745C1F"/>
    <w:rsid w:val="00745DC8"/>
    <w:rsid w:val="00745E08"/>
    <w:rsid w:val="00745FF4"/>
    <w:rsid w:val="0074621C"/>
    <w:rsid w:val="007464FD"/>
    <w:rsid w:val="007470DE"/>
    <w:rsid w:val="007471C8"/>
    <w:rsid w:val="00747583"/>
    <w:rsid w:val="007476BD"/>
    <w:rsid w:val="00747BD6"/>
    <w:rsid w:val="00747DB1"/>
    <w:rsid w:val="00747E39"/>
    <w:rsid w:val="0075072A"/>
    <w:rsid w:val="00750E2B"/>
    <w:rsid w:val="00750EFD"/>
    <w:rsid w:val="0075139C"/>
    <w:rsid w:val="0075194F"/>
    <w:rsid w:val="00751F92"/>
    <w:rsid w:val="0075220A"/>
    <w:rsid w:val="00752254"/>
    <w:rsid w:val="00752B8B"/>
    <w:rsid w:val="00752D17"/>
    <w:rsid w:val="00753204"/>
    <w:rsid w:val="00753A80"/>
    <w:rsid w:val="00753B9A"/>
    <w:rsid w:val="00753DFF"/>
    <w:rsid w:val="00754215"/>
    <w:rsid w:val="00754E0A"/>
    <w:rsid w:val="0075556F"/>
    <w:rsid w:val="007558DC"/>
    <w:rsid w:val="007566CF"/>
    <w:rsid w:val="00756FE6"/>
    <w:rsid w:val="00757183"/>
    <w:rsid w:val="0075725B"/>
    <w:rsid w:val="007574AB"/>
    <w:rsid w:val="00757A58"/>
    <w:rsid w:val="007604F0"/>
    <w:rsid w:val="00760780"/>
    <w:rsid w:val="00760B70"/>
    <w:rsid w:val="00761C2B"/>
    <w:rsid w:val="00761D0B"/>
    <w:rsid w:val="0076210E"/>
    <w:rsid w:val="00762132"/>
    <w:rsid w:val="007624A6"/>
    <w:rsid w:val="00763D09"/>
    <w:rsid w:val="00764603"/>
    <w:rsid w:val="0076464D"/>
    <w:rsid w:val="00765E90"/>
    <w:rsid w:val="00765EBE"/>
    <w:rsid w:val="007660AF"/>
    <w:rsid w:val="00766D21"/>
    <w:rsid w:val="00767A18"/>
    <w:rsid w:val="00767A88"/>
    <w:rsid w:val="00767C40"/>
    <w:rsid w:val="0077028A"/>
    <w:rsid w:val="00770419"/>
    <w:rsid w:val="00770D3A"/>
    <w:rsid w:val="00770EB6"/>
    <w:rsid w:val="00770F0F"/>
    <w:rsid w:val="00771248"/>
    <w:rsid w:val="00771F37"/>
    <w:rsid w:val="00772FE1"/>
    <w:rsid w:val="007736AD"/>
    <w:rsid w:val="007738D1"/>
    <w:rsid w:val="00773BDF"/>
    <w:rsid w:val="00774200"/>
    <w:rsid w:val="00774592"/>
    <w:rsid w:val="0077459F"/>
    <w:rsid w:val="00774AB0"/>
    <w:rsid w:val="007751BC"/>
    <w:rsid w:val="00775611"/>
    <w:rsid w:val="00775D06"/>
    <w:rsid w:val="00775FAD"/>
    <w:rsid w:val="0077727C"/>
    <w:rsid w:val="0077742B"/>
    <w:rsid w:val="007775AB"/>
    <w:rsid w:val="00777EB3"/>
    <w:rsid w:val="007806C8"/>
    <w:rsid w:val="00782121"/>
    <w:rsid w:val="007823EB"/>
    <w:rsid w:val="00782C70"/>
    <w:rsid w:val="00783302"/>
    <w:rsid w:val="00783813"/>
    <w:rsid w:val="00783CF1"/>
    <w:rsid w:val="00783D73"/>
    <w:rsid w:val="00784202"/>
    <w:rsid w:val="007845DA"/>
    <w:rsid w:val="007846EB"/>
    <w:rsid w:val="007855E6"/>
    <w:rsid w:val="00785703"/>
    <w:rsid w:val="007858EF"/>
    <w:rsid w:val="00785DF6"/>
    <w:rsid w:val="00787038"/>
    <w:rsid w:val="00787486"/>
    <w:rsid w:val="0078751C"/>
    <w:rsid w:val="00790B4A"/>
    <w:rsid w:val="00790C80"/>
    <w:rsid w:val="00791B0C"/>
    <w:rsid w:val="00791B18"/>
    <w:rsid w:val="00791D8C"/>
    <w:rsid w:val="007926A3"/>
    <w:rsid w:val="00792FEB"/>
    <w:rsid w:val="0079308E"/>
    <w:rsid w:val="0079353F"/>
    <w:rsid w:val="007948D6"/>
    <w:rsid w:val="00794F47"/>
    <w:rsid w:val="00795414"/>
    <w:rsid w:val="0079561C"/>
    <w:rsid w:val="00795EFB"/>
    <w:rsid w:val="007968FC"/>
    <w:rsid w:val="00797681"/>
    <w:rsid w:val="00797A3A"/>
    <w:rsid w:val="00797F3D"/>
    <w:rsid w:val="007A0D10"/>
    <w:rsid w:val="007A11CF"/>
    <w:rsid w:val="007A11D5"/>
    <w:rsid w:val="007A1F34"/>
    <w:rsid w:val="007A20FB"/>
    <w:rsid w:val="007A22B0"/>
    <w:rsid w:val="007A2817"/>
    <w:rsid w:val="007A32A4"/>
    <w:rsid w:val="007A4388"/>
    <w:rsid w:val="007A43BB"/>
    <w:rsid w:val="007A4446"/>
    <w:rsid w:val="007A480A"/>
    <w:rsid w:val="007A55FA"/>
    <w:rsid w:val="007A57C8"/>
    <w:rsid w:val="007A66CF"/>
    <w:rsid w:val="007A6993"/>
    <w:rsid w:val="007A7159"/>
    <w:rsid w:val="007A79D4"/>
    <w:rsid w:val="007B00D8"/>
    <w:rsid w:val="007B04D4"/>
    <w:rsid w:val="007B0C41"/>
    <w:rsid w:val="007B11C3"/>
    <w:rsid w:val="007B1635"/>
    <w:rsid w:val="007B1692"/>
    <w:rsid w:val="007B1A27"/>
    <w:rsid w:val="007B1CC8"/>
    <w:rsid w:val="007B21EB"/>
    <w:rsid w:val="007B2969"/>
    <w:rsid w:val="007B2E13"/>
    <w:rsid w:val="007B39CB"/>
    <w:rsid w:val="007B4489"/>
    <w:rsid w:val="007B4681"/>
    <w:rsid w:val="007B4D47"/>
    <w:rsid w:val="007B525A"/>
    <w:rsid w:val="007B545B"/>
    <w:rsid w:val="007B54D4"/>
    <w:rsid w:val="007B55E8"/>
    <w:rsid w:val="007B5D75"/>
    <w:rsid w:val="007B6317"/>
    <w:rsid w:val="007B64AB"/>
    <w:rsid w:val="007B6BF5"/>
    <w:rsid w:val="007B71DC"/>
    <w:rsid w:val="007C01A5"/>
    <w:rsid w:val="007C0237"/>
    <w:rsid w:val="007C0436"/>
    <w:rsid w:val="007C0A88"/>
    <w:rsid w:val="007C0E02"/>
    <w:rsid w:val="007C2353"/>
    <w:rsid w:val="007C2822"/>
    <w:rsid w:val="007C2860"/>
    <w:rsid w:val="007C294B"/>
    <w:rsid w:val="007C2AF5"/>
    <w:rsid w:val="007C2D77"/>
    <w:rsid w:val="007C3023"/>
    <w:rsid w:val="007C33A8"/>
    <w:rsid w:val="007C3479"/>
    <w:rsid w:val="007C360A"/>
    <w:rsid w:val="007C5CE1"/>
    <w:rsid w:val="007C5F8F"/>
    <w:rsid w:val="007C7FD6"/>
    <w:rsid w:val="007D13D0"/>
    <w:rsid w:val="007D19F4"/>
    <w:rsid w:val="007D1C87"/>
    <w:rsid w:val="007D1E7C"/>
    <w:rsid w:val="007D2736"/>
    <w:rsid w:val="007D3092"/>
    <w:rsid w:val="007D3B0A"/>
    <w:rsid w:val="007D3BBB"/>
    <w:rsid w:val="007D3E04"/>
    <w:rsid w:val="007D42A1"/>
    <w:rsid w:val="007D436C"/>
    <w:rsid w:val="007D4397"/>
    <w:rsid w:val="007D4578"/>
    <w:rsid w:val="007D47C0"/>
    <w:rsid w:val="007D4EFB"/>
    <w:rsid w:val="007D54A5"/>
    <w:rsid w:val="007D5962"/>
    <w:rsid w:val="007D624B"/>
    <w:rsid w:val="007D6320"/>
    <w:rsid w:val="007D6343"/>
    <w:rsid w:val="007D71C5"/>
    <w:rsid w:val="007D7364"/>
    <w:rsid w:val="007D7462"/>
    <w:rsid w:val="007D7D3A"/>
    <w:rsid w:val="007E04D2"/>
    <w:rsid w:val="007E0537"/>
    <w:rsid w:val="007E0F9C"/>
    <w:rsid w:val="007E17F8"/>
    <w:rsid w:val="007E187A"/>
    <w:rsid w:val="007E1C98"/>
    <w:rsid w:val="007E1E91"/>
    <w:rsid w:val="007E23AB"/>
    <w:rsid w:val="007E2505"/>
    <w:rsid w:val="007E2924"/>
    <w:rsid w:val="007E2A8D"/>
    <w:rsid w:val="007E2BF0"/>
    <w:rsid w:val="007E2EE8"/>
    <w:rsid w:val="007E3066"/>
    <w:rsid w:val="007E31B2"/>
    <w:rsid w:val="007E32C7"/>
    <w:rsid w:val="007E334F"/>
    <w:rsid w:val="007E33F2"/>
    <w:rsid w:val="007E3787"/>
    <w:rsid w:val="007E4318"/>
    <w:rsid w:val="007E4B90"/>
    <w:rsid w:val="007E5196"/>
    <w:rsid w:val="007E5200"/>
    <w:rsid w:val="007E52B6"/>
    <w:rsid w:val="007E5991"/>
    <w:rsid w:val="007E5DBD"/>
    <w:rsid w:val="007E5FAD"/>
    <w:rsid w:val="007E6E72"/>
    <w:rsid w:val="007E7556"/>
    <w:rsid w:val="007F0398"/>
    <w:rsid w:val="007F0C0A"/>
    <w:rsid w:val="007F1780"/>
    <w:rsid w:val="007F1F20"/>
    <w:rsid w:val="007F2349"/>
    <w:rsid w:val="007F2AC7"/>
    <w:rsid w:val="007F3E5B"/>
    <w:rsid w:val="007F4F31"/>
    <w:rsid w:val="007F5166"/>
    <w:rsid w:val="007F58B6"/>
    <w:rsid w:val="007F64EA"/>
    <w:rsid w:val="007F6514"/>
    <w:rsid w:val="007F6B76"/>
    <w:rsid w:val="007F75EE"/>
    <w:rsid w:val="007F7A8E"/>
    <w:rsid w:val="007F7AA4"/>
    <w:rsid w:val="0080040A"/>
    <w:rsid w:val="00800BA5"/>
    <w:rsid w:val="00801070"/>
    <w:rsid w:val="008017DC"/>
    <w:rsid w:val="00801AE3"/>
    <w:rsid w:val="00802176"/>
    <w:rsid w:val="00802F94"/>
    <w:rsid w:val="00803333"/>
    <w:rsid w:val="00803F5E"/>
    <w:rsid w:val="0080400C"/>
    <w:rsid w:val="0080434D"/>
    <w:rsid w:val="008044EE"/>
    <w:rsid w:val="0080466E"/>
    <w:rsid w:val="0080474C"/>
    <w:rsid w:val="008047D1"/>
    <w:rsid w:val="00804890"/>
    <w:rsid w:val="00804C48"/>
    <w:rsid w:val="008051AF"/>
    <w:rsid w:val="00805757"/>
    <w:rsid w:val="00805B45"/>
    <w:rsid w:val="00805FED"/>
    <w:rsid w:val="008064E0"/>
    <w:rsid w:val="0080653D"/>
    <w:rsid w:val="00806676"/>
    <w:rsid w:val="00806ABE"/>
    <w:rsid w:val="00806B5E"/>
    <w:rsid w:val="00807125"/>
    <w:rsid w:val="00807C12"/>
    <w:rsid w:val="00807CF6"/>
    <w:rsid w:val="008100C7"/>
    <w:rsid w:val="00810960"/>
    <w:rsid w:val="00811032"/>
    <w:rsid w:val="0081138E"/>
    <w:rsid w:val="00811558"/>
    <w:rsid w:val="0081159B"/>
    <w:rsid w:val="008115D0"/>
    <w:rsid w:val="008122E6"/>
    <w:rsid w:val="00812753"/>
    <w:rsid w:val="00812E03"/>
    <w:rsid w:val="00812ECF"/>
    <w:rsid w:val="00812F99"/>
    <w:rsid w:val="008130A0"/>
    <w:rsid w:val="00813248"/>
    <w:rsid w:val="00813BEE"/>
    <w:rsid w:val="008143CE"/>
    <w:rsid w:val="0081462E"/>
    <w:rsid w:val="0081476D"/>
    <w:rsid w:val="00814B8B"/>
    <w:rsid w:val="0081580A"/>
    <w:rsid w:val="00815D21"/>
    <w:rsid w:val="00816113"/>
    <w:rsid w:val="00816338"/>
    <w:rsid w:val="0081637F"/>
    <w:rsid w:val="008165DB"/>
    <w:rsid w:val="008166B8"/>
    <w:rsid w:val="00817460"/>
    <w:rsid w:val="00817DE4"/>
    <w:rsid w:val="0082022D"/>
    <w:rsid w:val="00820790"/>
    <w:rsid w:val="00820D98"/>
    <w:rsid w:val="008217C5"/>
    <w:rsid w:val="00821812"/>
    <w:rsid w:val="008218C4"/>
    <w:rsid w:val="008222A6"/>
    <w:rsid w:val="00822709"/>
    <w:rsid w:val="008229BF"/>
    <w:rsid w:val="00822A96"/>
    <w:rsid w:val="008231CC"/>
    <w:rsid w:val="00823242"/>
    <w:rsid w:val="00823C6B"/>
    <w:rsid w:val="00823F9D"/>
    <w:rsid w:val="00824EE8"/>
    <w:rsid w:val="008263B9"/>
    <w:rsid w:val="008265CD"/>
    <w:rsid w:val="00826B04"/>
    <w:rsid w:val="00827164"/>
    <w:rsid w:val="0082789A"/>
    <w:rsid w:val="0083001F"/>
    <w:rsid w:val="00830539"/>
    <w:rsid w:val="00830F1C"/>
    <w:rsid w:val="0083143D"/>
    <w:rsid w:val="00831A95"/>
    <w:rsid w:val="00831E2C"/>
    <w:rsid w:val="00832D00"/>
    <w:rsid w:val="00833A65"/>
    <w:rsid w:val="00833D03"/>
    <w:rsid w:val="00833F7A"/>
    <w:rsid w:val="008341AE"/>
    <w:rsid w:val="00834665"/>
    <w:rsid w:val="00834BBB"/>
    <w:rsid w:val="008358A3"/>
    <w:rsid w:val="00835A5E"/>
    <w:rsid w:val="00835E08"/>
    <w:rsid w:val="008362BE"/>
    <w:rsid w:val="00836760"/>
    <w:rsid w:val="00836B01"/>
    <w:rsid w:val="00836BC8"/>
    <w:rsid w:val="008376D2"/>
    <w:rsid w:val="008408C0"/>
    <w:rsid w:val="0084092B"/>
    <w:rsid w:val="00840E43"/>
    <w:rsid w:val="0084128C"/>
    <w:rsid w:val="00841BF8"/>
    <w:rsid w:val="00841E3A"/>
    <w:rsid w:val="0084214E"/>
    <w:rsid w:val="00842CCD"/>
    <w:rsid w:val="00842D38"/>
    <w:rsid w:val="008442B0"/>
    <w:rsid w:val="00844578"/>
    <w:rsid w:val="00844622"/>
    <w:rsid w:val="0084463E"/>
    <w:rsid w:val="00844FC5"/>
    <w:rsid w:val="008455F6"/>
    <w:rsid w:val="008459AC"/>
    <w:rsid w:val="00845E9D"/>
    <w:rsid w:val="00845ED6"/>
    <w:rsid w:val="0084664B"/>
    <w:rsid w:val="008468EC"/>
    <w:rsid w:val="008469CA"/>
    <w:rsid w:val="00846C11"/>
    <w:rsid w:val="00847367"/>
    <w:rsid w:val="00850119"/>
    <w:rsid w:val="0085074D"/>
    <w:rsid w:val="00850755"/>
    <w:rsid w:val="00852E9E"/>
    <w:rsid w:val="00853171"/>
    <w:rsid w:val="008534B4"/>
    <w:rsid w:val="00853918"/>
    <w:rsid w:val="008546C4"/>
    <w:rsid w:val="00854E1C"/>
    <w:rsid w:val="00855D5A"/>
    <w:rsid w:val="00855D9A"/>
    <w:rsid w:val="0085660A"/>
    <w:rsid w:val="00856C1A"/>
    <w:rsid w:val="00857832"/>
    <w:rsid w:val="00860019"/>
    <w:rsid w:val="00860323"/>
    <w:rsid w:val="00860C6C"/>
    <w:rsid w:val="00860E84"/>
    <w:rsid w:val="00860F27"/>
    <w:rsid w:val="00861543"/>
    <w:rsid w:val="0086224B"/>
    <w:rsid w:val="0086260A"/>
    <w:rsid w:val="00862BC2"/>
    <w:rsid w:val="00862FD2"/>
    <w:rsid w:val="00863144"/>
    <w:rsid w:val="008634A2"/>
    <w:rsid w:val="00863C98"/>
    <w:rsid w:val="00863F96"/>
    <w:rsid w:val="008643C5"/>
    <w:rsid w:val="00864E46"/>
    <w:rsid w:val="00864F8B"/>
    <w:rsid w:val="00865B25"/>
    <w:rsid w:val="00865F68"/>
    <w:rsid w:val="00865FF4"/>
    <w:rsid w:val="0086681E"/>
    <w:rsid w:val="00866DFB"/>
    <w:rsid w:val="0086730E"/>
    <w:rsid w:val="00867E58"/>
    <w:rsid w:val="00867EC7"/>
    <w:rsid w:val="00870459"/>
    <w:rsid w:val="00870AFA"/>
    <w:rsid w:val="00870CA1"/>
    <w:rsid w:val="008720AF"/>
    <w:rsid w:val="00872D48"/>
    <w:rsid w:val="0087324A"/>
    <w:rsid w:val="00873833"/>
    <w:rsid w:val="00874AFF"/>
    <w:rsid w:val="00874DD8"/>
    <w:rsid w:val="00874E3A"/>
    <w:rsid w:val="00874E70"/>
    <w:rsid w:val="00875058"/>
    <w:rsid w:val="008758AF"/>
    <w:rsid w:val="0087593F"/>
    <w:rsid w:val="00875C21"/>
    <w:rsid w:val="00875E5A"/>
    <w:rsid w:val="008765BF"/>
    <w:rsid w:val="00876643"/>
    <w:rsid w:val="008777D7"/>
    <w:rsid w:val="00877AD3"/>
    <w:rsid w:val="0088050C"/>
    <w:rsid w:val="00880847"/>
    <w:rsid w:val="008808D4"/>
    <w:rsid w:val="00880ADA"/>
    <w:rsid w:val="00881E6F"/>
    <w:rsid w:val="00882E93"/>
    <w:rsid w:val="00882F9F"/>
    <w:rsid w:val="00883021"/>
    <w:rsid w:val="008833ED"/>
    <w:rsid w:val="00884D61"/>
    <w:rsid w:val="008855F2"/>
    <w:rsid w:val="0088588F"/>
    <w:rsid w:val="00886084"/>
    <w:rsid w:val="008863A6"/>
    <w:rsid w:val="00886704"/>
    <w:rsid w:val="00886721"/>
    <w:rsid w:val="00886ADF"/>
    <w:rsid w:val="008871E8"/>
    <w:rsid w:val="00887938"/>
    <w:rsid w:val="00887DEA"/>
    <w:rsid w:val="00890312"/>
    <w:rsid w:val="00890AAE"/>
    <w:rsid w:val="00890E03"/>
    <w:rsid w:val="0089158B"/>
    <w:rsid w:val="00891A73"/>
    <w:rsid w:val="008921BC"/>
    <w:rsid w:val="008926DD"/>
    <w:rsid w:val="00892966"/>
    <w:rsid w:val="00892B10"/>
    <w:rsid w:val="008931D3"/>
    <w:rsid w:val="00893261"/>
    <w:rsid w:val="00893397"/>
    <w:rsid w:val="008949C3"/>
    <w:rsid w:val="00894A84"/>
    <w:rsid w:val="00894D34"/>
    <w:rsid w:val="00895AF2"/>
    <w:rsid w:val="00895B5E"/>
    <w:rsid w:val="00895F2A"/>
    <w:rsid w:val="00896052"/>
    <w:rsid w:val="00896BB3"/>
    <w:rsid w:val="00896DD6"/>
    <w:rsid w:val="00897F39"/>
    <w:rsid w:val="008A08C1"/>
    <w:rsid w:val="008A1868"/>
    <w:rsid w:val="008A1956"/>
    <w:rsid w:val="008A1AAE"/>
    <w:rsid w:val="008A27C2"/>
    <w:rsid w:val="008A35C7"/>
    <w:rsid w:val="008A3B59"/>
    <w:rsid w:val="008A401C"/>
    <w:rsid w:val="008A4653"/>
    <w:rsid w:val="008A4E6F"/>
    <w:rsid w:val="008A5B07"/>
    <w:rsid w:val="008A631A"/>
    <w:rsid w:val="008A68C2"/>
    <w:rsid w:val="008A69AC"/>
    <w:rsid w:val="008A6BBF"/>
    <w:rsid w:val="008A7DB8"/>
    <w:rsid w:val="008B0072"/>
    <w:rsid w:val="008B0466"/>
    <w:rsid w:val="008B05E1"/>
    <w:rsid w:val="008B0CA1"/>
    <w:rsid w:val="008B0D1F"/>
    <w:rsid w:val="008B16E6"/>
    <w:rsid w:val="008B1903"/>
    <w:rsid w:val="008B1FBF"/>
    <w:rsid w:val="008B273A"/>
    <w:rsid w:val="008B2A79"/>
    <w:rsid w:val="008B2D8B"/>
    <w:rsid w:val="008B2F5C"/>
    <w:rsid w:val="008B301A"/>
    <w:rsid w:val="008B332A"/>
    <w:rsid w:val="008B3952"/>
    <w:rsid w:val="008B3A7D"/>
    <w:rsid w:val="008B3AD7"/>
    <w:rsid w:val="008B3B32"/>
    <w:rsid w:val="008B3F67"/>
    <w:rsid w:val="008B4281"/>
    <w:rsid w:val="008B4835"/>
    <w:rsid w:val="008B541C"/>
    <w:rsid w:val="008B552B"/>
    <w:rsid w:val="008B5E53"/>
    <w:rsid w:val="008B5F4F"/>
    <w:rsid w:val="008B60A5"/>
    <w:rsid w:val="008B60EB"/>
    <w:rsid w:val="008B62E8"/>
    <w:rsid w:val="008B6F4D"/>
    <w:rsid w:val="008B70C6"/>
    <w:rsid w:val="008B7400"/>
    <w:rsid w:val="008B78D3"/>
    <w:rsid w:val="008B7EF3"/>
    <w:rsid w:val="008C0A3F"/>
    <w:rsid w:val="008C0ADF"/>
    <w:rsid w:val="008C0B64"/>
    <w:rsid w:val="008C0D50"/>
    <w:rsid w:val="008C1075"/>
    <w:rsid w:val="008C223E"/>
    <w:rsid w:val="008C2B82"/>
    <w:rsid w:val="008C3073"/>
    <w:rsid w:val="008C3355"/>
    <w:rsid w:val="008C36F3"/>
    <w:rsid w:val="008C4CEC"/>
    <w:rsid w:val="008C5453"/>
    <w:rsid w:val="008C55D3"/>
    <w:rsid w:val="008C60B3"/>
    <w:rsid w:val="008C6189"/>
    <w:rsid w:val="008C6D32"/>
    <w:rsid w:val="008C76BF"/>
    <w:rsid w:val="008C76E1"/>
    <w:rsid w:val="008C7ECA"/>
    <w:rsid w:val="008D091C"/>
    <w:rsid w:val="008D1324"/>
    <w:rsid w:val="008D16E3"/>
    <w:rsid w:val="008D1981"/>
    <w:rsid w:val="008D1A21"/>
    <w:rsid w:val="008D1A57"/>
    <w:rsid w:val="008D1F8D"/>
    <w:rsid w:val="008D202D"/>
    <w:rsid w:val="008D2D28"/>
    <w:rsid w:val="008D2F13"/>
    <w:rsid w:val="008D356B"/>
    <w:rsid w:val="008D3578"/>
    <w:rsid w:val="008D3C65"/>
    <w:rsid w:val="008D510F"/>
    <w:rsid w:val="008D5FA5"/>
    <w:rsid w:val="008D61F7"/>
    <w:rsid w:val="008D739F"/>
    <w:rsid w:val="008D7464"/>
    <w:rsid w:val="008D7907"/>
    <w:rsid w:val="008D7B69"/>
    <w:rsid w:val="008E053D"/>
    <w:rsid w:val="008E0781"/>
    <w:rsid w:val="008E0B58"/>
    <w:rsid w:val="008E120A"/>
    <w:rsid w:val="008E1FFF"/>
    <w:rsid w:val="008E2488"/>
    <w:rsid w:val="008E2ABE"/>
    <w:rsid w:val="008E2E36"/>
    <w:rsid w:val="008E3CFF"/>
    <w:rsid w:val="008E46CC"/>
    <w:rsid w:val="008E4F17"/>
    <w:rsid w:val="008E585B"/>
    <w:rsid w:val="008E6221"/>
    <w:rsid w:val="008E6752"/>
    <w:rsid w:val="008E67AF"/>
    <w:rsid w:val="008E7227"/>
    <w:rsid w:val="008E72E8"/>
    <w:rsid w:val="008E7378"/>
    <w:rsid w:val="008E7BFB"/>
    <w:rsid w:val="008F0180"/>
    <w:rsid w:val="008F10D8"/>
    <w:rsid w:val="008F13EF"/>
    <w:rsid w:val="008F14C4"/>
    <w:rsid w:val="008F1687"/>
    <w:rsid w:val="008F16FC"/>
    <w:rsid w:val="008F1785"/>
    <w:rsid w:val="008F18E5"/>
    <w:rsid w:val="008F1FB7"/>
    <w:rsid w:val="008F3220"/>
    <w:rsid w:val="008F458A"/>
    <w:rsid w:val="008F4ACD"/>
    <w:rsid w:val="008F4F9C"/>
    <w:rsid w:val="008F54BB"/>
    <w:rsid w:val="008F5F2F"/>
    <w:rsid w:val="00900465"/>
    <w:rsid w:val="0090084B"/>
    <w:rsid w:val="00900898"/>
    <w:rsid w:val="00901358"/>
    <w:rsid w:val="00901E56"/>
    <w:rsid w:val="00902498"/>
    <w:rsid w:val="00902DC8"/>
    <w:rsid w:val="0090300F"/>
    <w:rsid w:val="0090319C"/>
    <w:rsid w:val="0090406F"/>
    <w:rsid w:val="00904869"/>
    <w:rsid w:val="00905D59"/>
    <w:rsid w:val="00906160"/>
    <w:rsid w:val="00906277"/>
    <w:rsid w:val="00907018"/>
    <w:rsid w:val="00907345"/>
    <w:rsid w:val="009078BB"/>
    <w:rsid w:val="00907DBE"/>
    <w:rsid w:val="009100E4"/>
    <w:rsid w:val="00910406"/>
    <w:rsid w:val="009107CF"/>
    <w:rsid w:val="00911389"/>
    <w:rsid w:val="00911411"/>
    <w:rsid w:val="009117A5"/>
    <w:rsid w:val="00911B15"/>
    <w:rsid w:val="00912092"/>
    <w:rsid w:val="0091215D"/>
    <w:rsid w:val="00912ACB"/>
    <w:rsid w:val="00913207"/>
    <w:rsid w:val="00913375"/>
    <w:rsid w:val="009136E9"/>
    <w:rsid w:val="00913960"/>
    <w:rsid w:val="00913BAD"/>
    <w:rsid w:val="00914061"/>
    <w:rsid w:val="00915049"/>
    <w:rsid w:val="009158FC"/>
    <w:rsid w:val="009163FC"/>
    <w:rsid w:val="00916BB5"/>
    <w:rsid w:val="00917587"/>
    <w:rsid w:val="009176E8"/>
    <w:rsid w:val="009204A9"/>
    <w:rsid w:val="00920E55"/>
    <w:rsid w:val="00920FD3"/>
    <w:rsid w:val="0092218F"/>
    <w:rsid w:val="0092225B"/>
    <w:rsid w:val="009224DB"/>
    <w:rsid w:val="00922909"/>
    <w:rsid w:val="00922AA1"/>
    <w:rsid w:val="00922CB8"/>
    <w:rsid w:val="0092373A"/>
    <w:rsid w:val="00923904"/>
    <w:rsid w:val="009244D7"/>
    <w:rsid w:val="00924C6E"/>
    <w:rsid w:val="0092517D"/>
    <w:rsid w:val="009253DF"/>
    <w:rsid w:val="00925416"/>
    <w:rsid w:val="0092546C"/>
    <w:rsid w:val="00925937"/>
    <w:rsid w:val="009273AC"/>
    <w:rsid w:val="00927434"/>
    <w:rsid w:val="00930692"/>
    <w:rsid w:val="00930A77"/>
    <w:rsid w:val="0093149B"/>
    <w:rsid w:val="0093194F"/>
    <w:rsid w:val="00932C2F"/>
    <w:rsid w:val="0093354C"/>
    <w:rsid w:val="009337DD"/>
    <w:rsid w:val="00933867"/>
    <w:rsid w:val="00933E3D"/>
    <w:rsid w:val="00933F6A"/>
    <w:rsid w:val="00934A2A"/>
    <w:rsid w:val="009360E0"/>
    <w:rsid w:val="00936A2C"/>
    <w:rsid w:val="009373A4"/>
    <w:rsid w:val="009374B1"/>
    <w:rsid w:val="0093774F"/>
    <w:rsid w:val="00940DE5"/>
    <w:rsid w:val="00941127"/>
    <w:rsid w:val="0094132E"/>
    <w:rsid w:val="009414E9"/>
    <w:rsid w:val="00941DEA"/>
    <w:rsid w:val="009422B8"/>
    <w:rsid w:val="009422C2"/>
    <w:rsid w:val="009423A2"/>
    <w:rsid w:val="009424A8"/>
    <w:rsid w:val="00942947"/>
    <w:rsid w:val="00942A8F"/>
    <w:rsid w:val="00942FDD"/>
    <w:rsid w:val="00943C11"/>
    <w:rsid w:val="0094472C"/>
    <w:rsid w:val="00944F4C"/>
    <w:rsid w:val="0094528E"/>
    <w:rsid w:val="00945456"/>
    <w:rsid w:val="00947493"/>
    <w:rsid w:val="0094764C"/>
    <w:rsid w:val="009479DF"/>
    <w:rsid w:val="00950593"/>
    <w:rsid w:val="0095069B"/>
    <w:rsid w:val="009513F4"/>
    <w:rsid w:val="00951DEB"/>
    <w:rsid w:val="0095217E"/>
    <w:rsid w:val="00952603"/>
    <w:rsid w:val="00953077"/>
    <w:rsid w:val="00953485"/>
    <w:rsid w:val="00953F03"/>
    <w:rsid w:val="00954156"/>
    <w:rsid w:val="009546F7"/>
    <w:rsid w:val="00954E2E"/>
    <w:rsid w:val="0095607C"/>
    <w:rsid w:val="009560F3"/>
    <w:rsid w:val="0095675B"/>
    <w:rsid w:val="00956DF3"/>
    <w:rsid w:val="00957838"/>
    <w:rsid w:val="009608F7"/>
    <w:rsid w:val="00960C01"/>
    <w:rsid w:val="00960D30"/>
    <w:rsid w:val="00960FAE"/>
    <w:rsid w:val="00961078"/>
    <w:rsid w:val="0096191F"/>
    <w:rsid w:val="00961B69"/>
    <w:rsid w:val="00961B70"/>
    <w:rsid w:val="00961B90"/>
    <w:rsid w:val="0096233A"/>
    <w:rsid w:val="00962385"/>
    <w:rsid w:val="009630B6"/>
    <w:rsid w:val="0096388B"/>
    <w:rsid w:val="00963954"/>
    <w:rsid w:val="00963D1C"/>
    <w:rsid w:val="00964F2A"/>
    <w:rsid w:val="0096554C"/>
    <w:rsid w:val="00965C57"/>
    <w:rsid w:val="00965F09"/>
    <w:rsid w:val="00965F4C"/>
    <w:rsid w:val="009662CA"/>
    <w:rsid w:val="00966524"/>
    <w:rsid w:val="00966ABF"/>
    <w:rsid w:val="00966B8B"/>
    <w:rsid w:val="00966EE5"/>
    <w:rsid w:val="00967039"/>
    <w:rsid w:val="009671AC"/>
    <w:rsid w:val="009678BF"/>
    <w:rsid w:val="00967ED4"/>
    <w:rsid w:val="00970525"/>
    <w:rsid w:val="00970A27"/>
    <w:rsid w:val="00970D42"/>
    <w:rsid w:val="00971317"/>
    <w:rsid w:val="0097182B"/>
    <w:rsid w:val="00971FB1"/>
    <w:rsid w:val="0097234B"/>
    <w:rsid w:val="0097282A"/>
    <w:rsid w:val="00972C45"/>
    <w:rsid w:val="0097411B"/>
    <w:rsid w:val="009744F1"/>
    <w:rsid w:val="00974A20"/>
    <w:rsid w:val="00974B6F"/>
    <w:rsid w:val="0097515C"/>
    <w:rsid w:val="00976C04"/>
    <w:rsid w:val="00977069"/>
    <w:rsid w:val="009772A6"/>
    <w:rsid w:val="0097763E"/>
    <w:rsid w:val="00977746"/>
    <w:rsid w:val="009779F2"/>
    <w:rsid w:val="009800D5"/>
    <w:rsid w:val="00980654"/>
    <w:rsid w:val="00981869"/>
    <w:rsid w:val="00981CA2"/>
    <w:rsid w:val="009833EC"/>
    <w:rsid w:val="00983884"/>
    <w:rsid w:val="009838C8"/>
    <w:rsid w:val="00983DAF"/>
    <w:rsid w:val="00983E12"/>
    <w:rsid w:val="00983F23"/>
    <w:rsid w:val="009842C5"/>
    <w:rsid w:val="0098453C"/>
    <w:rsid w:val="009847C3"/>
    <w:rsid w:val="00984F11"/>
    <w:rsid w:val="00984F2D"/>
    <w:rsid w:val="009851C8"/>
    <w:rsid w:val="00985CFE"/>
    <w:rsid w:val="009862BB"/>
    <w:rsid w:val="00987110"/>
    <w:rsid w:val="009873F1"/>
    <w:rsid w:val="00987493"/>
    <w:rsid w:val="00987768"/>
    <w:rsid w:val="00987B25"/>
    <w:rsid w:val="00990C87"/>
    <w:rsid w:val="00991BED"/>
    <w:rsid w:val="00992A36"/>
    <w:rsid w:val="00992AF1"/>
    <w:rsid w:val="00992DFF"/>
    <w:rsid w:val="00993A53"/>
    <w:rsid w:val="00993EE5"/>
    <w:rsid w:val="009940F2"/>
    <w:rsid w:val="0099451E"/>
    <w:rsid w:val="00994652"/>
    <w:rsid w:val="00994857"/>
    <w:rsid w:val="009948D1"/>
    <w:rsid w:val="00994FA0"/>
    <w:rsid w:val="00995470"/>
    <w:rsid w:val="0099562D"/>
    <w:rsid w:val="00995EF0"/>
    <w:rsid w:val="00997289"/>
    <w:rsid w:val="0099761D"/>
    <w:rsid w:val="00997BCE"/>
    <w:rsid w:val="009A0E62"/>
    <w:rsid w:val="009A1400"/>
    <w:rsid w:val="009A1DCA"/>
    <w:rsid w:val="009A27B3"/>
    <w:rsid w:val="009A36BB"/>
    <w:rsid w:val="009A36F7"/>
    <w:rsid w:val="009A414D"/>
    <w:rsid w:val="009A43C2"/>
    <w:rsid w:val="009A4B49"/>
    <w:rsid w:val="009A5124"/>
    <w:rsid w:val="009A521C"/>
    <w:rsid w:val="009A53AA"/>
    <w:rsid w:val="009A559E"/>
    <w:rsid w:val="009A5D93"/>
    <w:rsid w:val="009A62F0"/>
    <w:rsid w:val="009A63A1"/>
    <w:rsid w:val="009A6587"/>
    <w:rsid w:val="009A674D"/>
    <w:rsid w:val="009A6C84"/>
    <w:rsid w:val="009A6E80"/>
    <w:rsid w:val="009A780A"/>
    <w:rsid w:val="009A7926"/>
    <w:rsid w:val="009B0A11"/>
    <w:rsid w:val="009B0ED4"/>
    <w:rsid w:val="009B13E1"/>
    <w:rsid w:val="009B1793"/>
    <w:rsid w:val="009B1C65"/>
    <w:rsid w:val="009B2254"/>
    <w:rsid w:val="009B34CF"/>
    <w:rsid w:val="009B3647"/>
    <w:rsid w:val="009B3651"/>
    <w:rsid w:val="009B36CB"/>
    <w:rsid w:val="009B4A9D"/>
    <w:rsid w:val="009B4E86"/>
    <w:rsid w:val="009B58A8"/>
    <w:rsid w:val="009B6355"/>
    <w:rsid w:val="009B6435"/>
    <w:rsid w:val="009B6446"/>
    <w:rsid w:val="009B6704"/>
    <w:rsid w:val="009B6EF0"/>
    <w:rsid w:val="009B715C"/>
    <w:rsid w:val="009B74DC"/>
    <w:rsid w:val="009B780C"/>
    <w:rsid w:val="009B78A1"/>
    <w:rsid w:val="009B7D00"/>
    <w:rsid w:val="009C039E"/>
    <w:rsid w:val="009C0D3C"/>
    <w:rsid w:val="009C0F03"/>
    <w:rsid w:val="009C0F30"/>
    <w:rsid w:val="009C15A3"/>
    <w:rsid w:val="009C1806"/>
    <w:rsid w:val="009C2993"/>
    <w:rsid w:val="009C2E95"/>
    <w:rsid w:val="009C3287"/>
    <w:rsid w:val="009C3304"/>
    <w:rsid w:val="009C348F"/>
    <w:rsid w:val="009C34AB"/>
    <w:rsid w:val="009C380E"/>
    <w:rsid w:val="009C3EA9"/>
    <w:rsid w:val="009C4D75"/>
    <w:rsid w:val="009C53B6"/>
    <w:rsid w:val="009C5442"/>
    <w:rsid w:val="009C59E4"/>
    <w:rsid w:val="009C6284"/>
    <w:rsid w:val="009C6705"/>
    <w:rsid w:val="009C69DE"/>
    <w:rsid w:val="009C6B81"/>
    <w:rsid w:val="009C6CFE"/>
    <w:rsid w:val="009C7185"/>
    <w:rsid w:val="009D0239"/>
    <w:rsid w:val="009D0BC1"/>
    <w:rsid w:val="009D104B"/>
    <w:rsid w:val="009D11CE"/>
    <w:rsid w:val="009D19C5"/>
    <w:rsid w:val="009D1F26"/>
    <w:rsid w:val="009D2410"/>
    <w:rsid w:val="009D2AE7"/>
    <w:rsid w:val="009D2DAE"/>
    <w:rsid w:val="009D3DD0"/>
    <w:rsid w:val="009D40A8"/>
    <w:rsid w:val="009D40F6"/>
    <w:rsid w:val="009D454B"/>
    <w:rsid w:val="009D500B"/>
    <w:rsid w:val="009D524F"/>
    <w:rsid w:val="009D5E6B"/>
    <w:rsid w:val="009D66DF"/>
    <w:rsid w:val="009D68B9"/>
    <w:rsid w:val="009D6AFD"/>
    <w:rsid w:val="009D6C33"/>
    <w:rsid w:val="009D7058"/>
    <w:rsid w:val="009D76C5"/>
    <w:rsid w:val="009D7B45"/>
    <w:rsid w:val="009E0144"/>
    <w:rsid w:val="009E04F4"/>
    <w:rsid w:val="009E0A31"/>
    <w:rsid w:val="009E0F7B"/>
    <w:rsid w:val="009E15EB"/>
    <w:rsid w:val="009E19CD"/>
    <w:rsid w:val="009E1CBD"/>
    <w:rsid w:val="009E26F1"/>
    <w:rsid w:val="009E2D06"/>
    <w:rsid w:val="009E2E96"/>
    <w:rsid w:val="009E2EFA"/>
    <w:rsid w:val="009E301C"/>
    <w:rsid w:val="009E3609"/>
    <w:rsid w:val="009E3689"/>
    <w:rsid w:val="009E3A96"/>
    <w:rsid w:val="009E3B44"/>
    <w:rsid w:val="009E3BA9"/>
    <w:rsid w:val="009E3CE7"/>
    <w:rsid w:val="009E506B"/>
    <w:rsid w:val="009E5544"/>
    <w:rsid w:val="009E5A9B"/>
    <w:rsid w:val="009E5E32"/>
    <w:rsid w:val="009E613D"/>
    <w:rsid w:val="009E660C"/>
    <w:rsid w:val="009E66A7"/>
    <w:rsid w:val="009E6AC1"/>
    <w:rsid w:val="009E73F5"/>
    <w:rsid w:val="009F0647"/>
    <w:rsid w:val="009F0781"/>
    <w:rsid w:val="009F0BBB"/>
    <w:rsid w:val="009F11DB"/>
    <w:rsid w:val="009F1338"/>
    <w:rsid w:val="009F1787"/>
    <w:rsid w:val="009F18A4"/>
    <w:rsid w:val="009F1A3C"/>
    <w:rsid w:val="009F2098"/>
    <w:rsid w:val="009F2451"/>
    <w:rsid w:val="009F248F"/>
    <w:rsid w:val="009F24AE"/>
    <w:rsid w:val="009F28E6"/>
    <w:rsid w:val="009F2BED"/>
    <w:rsid w:val="009F39DF"/>
    <w:rsid w:val="009F3E92"/>
    <w:rsid w:val="009F4143"/>
    <w:rsid w:val="009F515D"/>
    <w:rsid w:val="009F5CE3"/>
    <w:rsid w:val="009F65F3"/>
    <w:rsid w:val="009F6C0D"/>
    <w:rsid w:val="009F6C40"/>
    <w:rsid w:val="009F6E18"/>
    <w:rsid w:val="009F7D31"/>
    <w:rsid w:val="009F7E0B"/>
    <w:rsid w:val="00A00231"/>
    <w:rsid w:val="00A00809"/>
    <w:rsid w:val="00A00BB2"/>
    <w:rsid w:val="00A014D1"/>
    <w:rsid w:val="00A0189A"/>
    <w:rsid w:val="00A01DD6"/>
    <w:rsid w:val="00A0227E"/>
    <w:rsid w:val="00A023B9"/>
    <w:rsid w:val="00A024B7"/>
    <w:rsid w:val="00A028A7"/>
    <w:rsid w:val="00A02E1C"/>
    <w:rsid w:val="00A03257"/>
    <w:rsid w:val="00A052FF"/>
    <w:rsid w:val="00A05C7F"/>
    <w:rsid w:val="00A05DD9"/>
    <w:rsid w:val="00A05E26"/>
    <w:rsid w:val="00A05EF5"/>
    <w:rsid w:val="00A067EC"/>
    <w:rsid w:val="00A069AF"/>
    <w:rsid w:val="00A06CEA"/>
    <w:rsid w:val="00A0701B"/>
    <w:rsid w:val="00A07C30"/>
    <w:rsid w:val="00A10625"/>
    <w:rsid w:val="00A108A0"/>
    <w:rsid w:val="00A10CDB"/>
    <w:rsid w:val="00A10D60"/>
    <w:rsid w:val="00A131BB"/>
    <w:rsid w:val="00A13378"/>
    <w:rsid w:val="00A142FF"/>
    <w:rsid w:val="00A14509"/>
    <w:rsid w:val="00A147B9"/>
    <w:rsid w:val="00A1494B"/>
    <w:rsid w:val="00A14B04"/>
    <w:rsid w:val="00A14CB5"/>
    <w:rsid w:val="00A14E42"/>
    <w:rsid w:val="00A153EE"/>
    <w:rsid w:val="00A15974"/>
    <w:rsid w:val="00A15AEF"/>
    <w:rsid w:val="00A15BEA"/>
    <w:rsid w:val="00A15FCF"/>
    <w:rsid w:val="00A1605C"/>
    <w:rsid w:val="00A16588"/>
    <w:rsid w:val="00A16B52"/>
    <w:rsid w:val="00A16B62"/>
    <w:rsid w:val="00A17540"/>
    <w:rsid w:val="00A1783B"/>
    <w:rsid w:val="00A17A3D"/>
    <w:rsid w:val="00A17D30"/>
    <w:rsid w:val="00A17FA9"/>
    <w:rsid w:val="00A2045F"/>
    <w:rsid w:val="00A205C8"/>
    <w:rsid w:val="00A2230F"/>
    <w:rsid w:val="00A223C4"/>
    <w:rsid w:val="00A22713"/>
    <w:rsid w:val="00A22858"/>
    <w:rsid w:val="00A229C1"/>
    <w:rsid w:val="00A229CA"/>
    <w:rsid w:val="00A231E3"/>
    <w:rsid w:val="00A238C5"/>
    <w:rsid w:val="00A243A3"/>
    <w:rsid w:val="00A243BA"/>
    <w:rsid w:val="00A24A79"/>
    <w:rsid w:val="00A24B19"/>
    <w:rsid w:val="00A25D7C"/>
    <w:rsid w:val="00A2641B"/>
    <w:rsid w:val="00A26571"/>
    <w:rsid w:val="00A26ACD"/>
    <w:rsid w:val="00A26DBA"/>
    <w:rsid w:val="00A302D0"/>
    <w:rsid w:val="00A308FA"/>
    <w:rsid w:val="00A31473"/>
    <w:rsid w:val="00A32A94"/>
    <w:rsid w:val="00A3330B"/>
    <w:rsid w:val="00A35101"/>
    <w:rsid w:val="00A36183"/>
    <w:rsid w:val="00A361E7"/>
    <w:rsid w:val="00A364A6"/>
    <w:rsid w:val="00A365D9"/>
    <w:rsid w:val="00A3682C"/>
    <w:rsid w:val="00A36A32"/>
    <w:rsid w:val="00A36DC3"/>
    <w:rsid w:val="00A36E53"/>
    <w:rsid w:val="00A37158"/>
    <w:rsid w:val="00A406DC"/>
    <w:rsid w:val="00A41B92"/>
    <w:rsid w:val="00A42FB5"/>
    <w:rsid w:val="00A43196"/>
    <w:rsid w:val="00A44319"/>
    <w:rsid w:val="00A447E3"/>
    <w:rsid w:val="00A44A59"/>
    <w:rsid w:val="00A45448"/>
    <w:rsid w:val="00A45D64"/>
    <w:rsid w:val="00A46968"/>
    <w:rsid w:val="00A47345"/>
    <w:rsid w:val="00A4740B"/>
    <w:rsid w:val="00A4749D"/>
    <w:rsid w:val="00A5099F"/>
    <w:rsid w:val="00A50D14"/>
    <w:rsid w:val="00A51C00"/>
    <w:rsid w:val="00A51E2A"/>
    <w:rsid w:val="00A51E34"/>
    <w:rsid w:val="00A52550"/>
    <w:rsid w:val="00A5277A"/>
    <w:rsid w:val="00A52DA6"/>
    <w:rsid w:val="00A52E03"/>
    <w:rsid w:val="00A52EE8"/>
    <w:rsid w:val="00A52F53"/>
    <w:rsid w:val="00A53736"/>
    <w:rsid w:val="00A5473F"/>
    <w:rsid w:val="00A54BDD"/>
    <w:rsid w:val="00A54BF0"/>
    <w:rsid w:val="00A55439"/>
    <w:rsid w:val="00A55DCB"/>
    <w:rsid w:val="00A6005A"/>
    <w:rsid w:val="00A60269"/>
    <w:rsid w:val="00A6031C"/>
    <w:rsid w:val="00A60527"/>
    <w:rsid w:val="00A608D3"/>
    <w:rsid w:val="00A60AD3"/>
    <w:rsid w:val="00A60B38"/>
    <w:rsid w:val="00A60D3E"/>
    <w:rsid w:val="00A60DED"/>
    <w:rsid w:val="00A60E17"/>
    <w:rsid w:val="00A61396"/>
    <w:rsid w:val="00A61A3A"/>
    <w:rsid w:val="00A622F2"/>
    <w:rsid w:val="00A6244C"/>
    <w:rsid w:val="00A6287B"/>
    <w:rsid w:val="00A628C6"/>
    <w:rsid w:val="00A63DF6"/>
    <w:rsid w:val="00A63F09"/>
    <w:rsid w:val="00A63F85"/>
    <w:rsid w:val="00A64065"/>
    <w:rsid w:val="00A64617"/>
    <w:rsid w:val="00A6464F"/>
    <w:rsid w:val="00A64859"/>
    <w:rsid w:val="00A64905"/>
    <w:rsid w:val="00A65105"/>
    <w:rsid w:val="00A652D0"/>
    <w:rsid w:val="00A656CE"/>
    <w:rsid w:val="00A66D0E"/>
    <w:rsid w:val="00A66E6E"/>
    <w:rsid w:val="00A6737E"/>
    <w:rsid w:val="00A673F4"/>
    <w:rsid w:val="00A675A4"/>
    <w:rsid w:val="00A678A3"/>
    <w:rsid w:val="00A67B4C"/>
    <w:rsid w:val="00A70173"/>
    <w:rsid w:val="00A7174D"/>
    <w:rsid w:val="00A7199C"/>
    <w:rsid w:val="00A7208C"/>
    <w:rsid w:val="00A721FC"/>
    <w:rsid w:val="00A72BC3"/>
    <w:rsid w:val="00A737B4"/>
    <w:rsid w:val="00A74738"/>
    <w:rsid w:val="00A74C4A"/>
    <w:rsid w:val="00A74D05"/>
    <w:rsid w:val="00A7507F"/>
    <w:rsid w:val="00A753B8"/>
    <w:rsid w:val="00A75639"/>
    <w:rsid w:val="00A7613A"/>
    <w:rsid w:val="00A77098"/>
    <w:rsid w:val="00A80248"/>
    <w:rsid w:val="00A8063C"/>
    <w:rsid w:val="00A80D8D"/>
    <w:rsid w:val="00A80E50"/>
    <w:rsid w:val="00A80F95"/>
    <w:rsid w:val="00A81038"/>
    <w:rsid w:val="00A812E4"/>
    <w:rsid w:val="00A81610"/>
    <w:rsid w:val="00A81C22"/>
    <w:rsid w:val="00A81EB8"/>
    <w:rsid w:val="00A823B7"/>
    <w:rsid w:val="00A82807"/>
    <w:rsid w:val="00A828E9"/>
    <w:rsid w:val="00A82DE5"/>
    <w:rsid w:val="00A83089"/>
    <w:rsid w:val="00A836C5"/>
    <w:rsid w:val="00A8478C"/>
    <w:rsid w:val="00A85032"/>
    <w:rsid w:val="00A85ABD"/>
    <w:rsid w:val="00A86095"/>
    <w:rsid w:val="00A864CC"/>
    <w:rsid w:val="00A86563"/>
    <w:rsid w:val="00A865A3"/>
    <w:rsid w:val="00A86699"/>
    <w:rsid w:val="00A86781"/>
    <w:rsid w:val="00A87DBD"/>
    <w:rsid w:val="00A907D2"/>
    <w:rsid w:val="00A91037"/>
    <w:rsid w:val="00A91419"/>
    <w:rsid w:val="00A91663"/>
    <w:rsid w:val="00A91990"/>
    <w:rsid w:val="00A93661"/>
    <w:rsid w:val="00A93C87"/>
    <w:rsid w:val="00A93F80"/>
    <w:rsid w:val="00A94278"/>
    <w:rsid w:val="00A94548"/>
    <w:rsid w:val="00A95040"/>
    <w:rsid w:val="00A963F1"/>
    <w:rsid w:val="00A964B1"/>
    <w:rsid w:val="00A964E9"/>
    <w:rsid w:val="00A96908"/>
    <w:rsid w:val="00A9750A"/>
    <w:rsid w:val="00A97A3D"/>
    <w:rsid w:val="00AA00A4"/>
    <w:rsid w:val="00AA1049"/>
    <w:rsid w:val="00AA1B2F"/>
    <w:rsid w:val="00AA2245"/>
    <w:rsid w:val="00AA274D"/>
    <w:rsid w:val="00AA2770"/>
    <w:rsid w:val="00AA399E"/>
    <w:rsid w:val="00AA4705"/>
    <w:rsid w:val="00AA4CC1"/>
    <w:rsid w:val="00AA4E36"/>
    <w:rsid w:val="00AA52D0"/>
    <w:rsid w:val="00AA57D8"/>
    <w:rsid w:val="00AA584A"/>
    <w:rsid w:val="00AA5C47"/>
    <w:rsid w:val="00AA5D13"/>
    <w:rsid w:val="00AA6805"/>
    <w:rsid w:val="00AA6842"/>
    <w:rsid w:val="00AA6A88"/>
    <w:rsid w:val="00AA6C39"/>
    <w:rsid w:val="00AA6F96"/>
    <w:rsid w:val="00AA7416"/>
    <w:rsid w:val="00AA7840"/>
    <w:rsid w:val="00AA7D3A"/>
    <w:rsid w:val="00AB049B"/>
    <w:rsid w:val="00AB06E2"/>
    <w:rsid w:val="00AB07C0"/>
    <w:rsid w:val="00AB0894"/>
    <w:rsid w:val="00AB0C34"/>
    <w:rsid w:val="00AB0F97"/>
    <w:rsid w:val="00AB11F8"/>
    <w:rsid w:val="00AB1269"/>
    <w:rsid w:val="00AB17CF"/>
    <w:rsid w:val="00AB186D"/>
    <w:rsid w:val="00AB191C"/>
    <w:rsid w:val="00AB203D"/>
    <w:rsid w:val="00AB2059"/>
    <w:rsid w:val="00AB235C"/>
    <w:rsid w:val="00AB257E"/>
    <w:rsid w:val="00AB25DD"/>
    <w:rsid w:val="00AB2627"/>
    <w:rsid w:val="00AB2B69"/>
    <w:rsid w:val="00AB2BBC"/>
    <w:rsid w:val="00AB33A0"/>
    <w:rsid w:val="00AB3441"/>
    <w:rsid w:val="00AB46CC"/>
    <w:rsid w:val="00AB46D8"/>
    <w:rsid w:val="00AB56FA"/>
    <w:rsid w:val="00AB57FA"/>
    <w:rsid w:val="00AB5ACE"/>
    <w:rsid w:val="00AB61DC"/>
    <w:rsid w:val="00AB6E6F"/>
    <w:rsid w:val="00AB7834"/>
    <w:rsid w:val="00AB7979"/>
    <w:rsid w:val="00AB7CF8"/>
    <w:rsid w:val="00AB7DA8"/>
    <w:rsid w:val="00AB7E21"/>
    <w:rsid w:val="00AC04B9"/>
    <w:rsid w:val="00AC068E"/>
    <w:rsid w:val="00AC12F6"/>
    <w:rsid w:val="00AC158A"/>
    <w:rsid w:val="00AC17FA"/>
    <w:rsid w:val="00AC19DD"/>
    <w:rsid w:val="00AC2026"/>
    <w:rsid w:val="00AC23D2"/>
    <w:rsid w:val="00AC3E8C"/>
    <w:rsid w:val="00AC41BC"/>
    <w:rsid w:val="00AC4368"/>
    <w:rsid w:val="00AC4557"/>
    <w:rsid w:val="00AC486A"/>
    <w:rsid w:val="00AC4C9D"/>
    <w:rsid w:val="00AC4CDD"/>
    <w:rsid w:val="00AC5A94"/>
    <w:rsid w:val="00AC5E30"/>
    <w:rsid w:val="00AC7278"/>
    <w:rsid w:val="00AC75ED"/>
    <w:rsid w:val="00AC76C4"/>
    <w:rsid w:val="00AC7CA7"/>
    <w:rsid w:val="00AC7D18"/>
    <w:rsid w:val="00AC7D63"/>
    <w:rsid w:val="00AC7E11"/>
    <w:rsid w:val="00AD0391"/>
    <w:rsid w:val="00AD197D"/>
    <w:rsid w:val="00AD1985"/>
    <w:rsid w:val="00AD1A85"/>
    <w:rsid w:val="00AD1EDA"/>
    <w:rsid w:val="00AD21FD"/>
    <w:rsid w:val="00AD27A9"/>
    <w:rsid w:val="00AD339B"/>
    <w:rsid w:val="00AD4AC2"/>
    <w:rsid w:val="00AD4B55"/>
    <w:rsid w:val="00AD4D5E"/>
    <w:rsid w:val="00AD5332"/>
    <w:rsid w:val="00AD62CE"/>
    <w:rsid w:val="00AD6874"/>
    <w:rsid w:val="00AE01AF"/>
    <w:rsid w:val="00AE0590"/>
    <w:rsid w:val="00AE0988"/>
    <w:rsid w:val="00AE12D2"/>
    <w:rsid w:val="00AE15EB"/>
    <w:rsid w:val="00AE18DB"/>
    <w:rsid w:val="00AE1DCB"/>
    <w:rsid w:val="00AE32D0"/>
    <w:rsid w:val="00AE33B1"/>
    <w:rsid w:val="00AE383C"/>
    <w:rsid w:val="00AE3B23"/>
    <w:rsid w:val="00AE3C47"/>
    <w:rsid w:val="00AE3C7E"/>
    <w:rsid w:val="00AE48EC"/>
    <w:rsid w:val="00AE58CB"/>
    <w:rsid w:val="00AE59CB"/>
    <w:rsid w:val="00AE5FA8"/>
    <w:rsid w:val="00AE60C5"/>
    <w:rsid w:val="00AE6E0A"/>
    <w:rsid w:val="00AE7851"/>
    <w:rsid w:val="00AE7953"/>
    <w:rsid w:val="00AF0520"/>
    <w:rsid w:val="00AF1022"/>
    <w:rsid w:val="00AF13E1"/>
    <w:rsid w:val="00AF1E42"/>
    <w:rsid w:val="00AF2080"/>
    <w:rsid w:val="00AF45A7"/>
    <w:rsid w:val="00AF4759"/>
    <w:rsid w:val="00AF4CCF"/>
    <w:rsid w:val="00AF544F"/>
    <w:rsid w:val="00AF7114"/>
    <w:rsid w:val="00AF745A"/>
    <w:rsid w:val="00AF7E9E"/>
    <w:rsid w:val="00B0035B"/>
    <w:rsid w:val="00B0074D"/>
    <w:rsid w:val="00B00AE3"/>
    <w:rsid w:val="00B00FD8"/>
    <w:rsid w:val="00B011A8"/>
    <w:rsid w:val="00B01236"/>
    <w:rsid w:val="00B015C2"/>
    <w:rsid w:val="00B01EF8"/>
    <w:rsid w:val="00B01EFB"/>
    <w:rsid w:val="00B01F2B"/>
    <w:rsid w:val="00B0213A"/>
    <w:rsid w:val="00B027BE"/>
    <w:rsid w:val="00B02CAD"/>
    <w:rsid w:val="00B02DFF"/>
    <w:rsid w:val="00B03A73"/>
    <w:rsid w:val="00B03AB4"/>
    <w:rsid w:val="00B03B41"/>
    <w:rsid w:val="00B03C33"/>
    <w:rsid w:val="00B049BE"/>
    <w:rsid w:val="00B04FA1"/>
    <w:rsid w:val="00B0524B"/>
    <w:rsid w:val="00B05C91"/>
    <w:rsid w:val="00B06E96"/>
    <w:rsid w:val="00B0717D"/>
    <w:rsid w:val="00B07468"/>
    <w:rsid w:val="00B07F68"/>
    <w:rsid w:val="00B10DC4"/>
    <w:rsid w:val="00B10EF1"/>
    <w:rsid w:val="00B1105C"/>
    <w:rsid w:val="00B11222"/>
    <w:rsid w:val="00B112E2"/>
    <w:rsid w:val="00B11C53"/>
    <w:rsid w:val="00B121A7"/>
    <w:rsid w:val="00B12229"/>
    <w:rsid w:val="00B12255"/>
    <w:rsid w:val="00B12476"/>
    <w:rsid w:val="00B125E4"/>
    <w:rsid w:val="00B12810"/>
    <w:rsid w:val="00B12B29"/>
    <w:rsid w:val="00B1308D"/>
    <w:rsid w:val="00B131C1"/>
    <w:rsid w:val="00B13599"/>
    <w:rsid w:val="00B13B3F"/>
    <w:rsid w:val="00B13CE0"/>
    <w:rsid w:val="00B140AA"/>
    <w:rsid w:val="00B143FD"/>
    <w:rsid w:val="00B14B76"/>
    <w:rsid w:val="00B14EBF"/>
    <w:rsid w:val="00B1526D"/>
    <w:rsid w:val="00B15383"/>
    <w:rsid w:val="00B155D9"/>
    <w:rsid w:val="00B155DC"/>
    <w:rsid w:val="00B16003"/>
    <w:rsid w:val="00B16C0A"/>
    <w:rsid w:val="00B16DC8"/>
    <w:rsid w:val="00B17CBB"/>
    <w:rsid w:val="00B206D0"/>
    <w:rsid w:val="00B206E4"/>
    <w:rsid w:val="00B20953"/>
    <w:rsid w:val="00B21108"/>
    <w:rsid w:val="00B213EC"/>
    <w:rsid w:val="00B214B6"/>
    <w:rsid w:val="00B21A8F"/>
    <w:rsid w:val="00B2203B"/>
    <w:rsid w:val="00B22428"/>
    <w:rsid w:val="00B22AB5"/>
    <w:rsid w:val="00B23320"/>
    <w:rsid w:val="00B23645"/>
    <w:rsid w:val="00B23EF8"/>
    <w:rsid w:val="00B23F25"/>
    <w:rsid w:val="00B24294"/>
    <w:rsid w:val="00B2469C"/>
    <w:rsid w:val="00B24800"/>
    <w:rsid w:val="00B24989"/>
    <w:rsid w:val="00B24EA7"/>
    <w:rsid w:val="00B267FB"/>
    <w:rsid w:val="00B270D5"/>
    <w:rsid w:val="00B27182"/>
    <w:rsid w:val="00B27D7D"/>
    <w:rsid w:val="00B302ED"/>
    <w:rsid w:val="00B308A3"/>
    <w:rsid w:val="00B309E6"/>
    <w:rsid w:val="00B30B1B"/>
    <w:rsid w:val="00B316B5"/>
    <w:rsid w:val="00B317C1"/>
    <w:rsid w:val="00B31A3D"/>
    <w:rsid w:val="00B3221B"/>
    <w:rsid w:val="00B32724"/>
    <w:rsid w:val="00B3280B"/>
    <w:rsid w:val="00B32A80"/>
    <w:rsid w:val="00B330E4"/>
    <w:rsid w:val="00B33160"/>
    <w:rsid w:val="00B3352F"/>
    <w:rsid w:val="00B3365D"/>
    <w:rsid w:val="00B33DF0"/>
    <w:rsid w:val="00B34153"/>
    <w:rsid w:val="00B35079"/>
    <w:rsid w:val="00B35B62"/>
    <w:rsid w:val="00B35C1F"/>
    <w:rsid w:val="00B36AEF"/>
    <w:rsid w:val="00B373D8"/>
    <w:rsid w:val="00B373FF"/>
    <w:rsid w:val="00B379DB"/>
    <w:rsid w:val="00B37DD3"/>
    <w:rsid w:val="00B37DE4"/>
    <w:rsid w:val="00B42138"/>
    <w:rsid w:val="00B42331"/>
    <w:rsid w:val="00B42FC4"/>
    <w:rsid w:val="00B432D9"/>
    <w:rsid w:val="00B43B38"/>
    <w:rsid w:val="00B44648"/>
    <w:rsid w:val="00B45450"/>
    <w:rsid w:val="00B457F9"/>
    <w:rsid w:val="00B458E0"/>
    <w:rsid w:val="00B4617C"/>
    <w:rsid w:val="00B46DB9"/>
    <w:rsid w:val="00B46F9C"/>
    <w:rsid w:val="00B47C33"/>
    <w:rsid w:val="00B5024D"/>
    <w:rsid w:val="00B502EF"/>
    <w:rsid w:val="00B50EC0"/>
    <w:rsid w:val="00B50FD8"/>
    <w:rsid w:val="00B52471"/>
    <w:rsid w:val="00B524A3"/>
    <w:rsid w:val="00B52CE2"/>
    <w:rsid w:val="00B52DD5"/>
    <w:rsid w:val="00B530DD"/>
    <w:rsid w:val="00B537EF"/>
    <w:rsid w:val="00B539A8"/>
    <w:rsid w:val="00B539D3"/>
    <w:rsid w:val="00B53B33"/>
    <w:rsid w:val="00B53CFB"/>
    <w:rsid w:val="00B53F2D"/>
    <w:rsid w:val="00B5439B"/>
    <w:rsid w:val="00B54E96"/>
    <w:rsid w:val="00B54FBE"/>
    <w:rsid w:val="00B5541B"/>
    <w:rsid w:val="00B558F5"/>
    <w:rsid w:val="00B562CF"/>
    <w:rsid w:val="00B5776A"/>
    <w:rsid w:val="00B57F18"/>
    <w:rsid w:val="00B60FF4"/>
    <w:rsid w:val="00B61782"/>
    <w:rsid w:val="00B617DC"/>
    <w:rsid w:val="00B61F9E"/>
    <w:rsid w:val="00B6236F"/>
    <w:rsid w:val="00B625DE"/>
    <w:rsid w:val="00B628D1"/>
    <w:rsid w:val="00B62B6B"/>
    <w:rsid w:val="00B63390"/>
    <w:rsid w:val="00B63655"/>
    <w:rsid w:val="00B639C7"/>
    <w:rsid w:val="00B63D28"/>
    <w:rsid w:val="00B64C3A"/>
    <w:rsid w:val="00B64D32"/>
    <w:rsid w:val="00B65A9F"/>
    <w:rsid w:val="00B66044"/>
    <w:rsid w:val="00B6604C"/>
    <w:rsid w:val="00B660CB"/>
    <w:rsid w:val="00B66210"/>
    <w:rsid w:val="00B663EF"/>
    <w:rsid w:val="00B66522"/>
    <w:rsid w:val="00B67269"/>
    <w:rsid w:val="00B67AC0"/>
    <w:rsid w:val="00B70471"/>
    <w:rsid w:val="00B7089B"/>
    <w:rsid w:val="00B71166"/>
    <w:rsid w:val="00B7151E"/>
    <w:rsid w:val="00B716B2"/>
    <w:rsid w:val="00B718F2"/>
    <w:rsid w:val="00B71C89"/>
    <w:rsid w:val="00B71E75"/>
    <w:rsid w:val="00B733B4"/>
    <w:rsid w:val="00B73B82"/>
    <w:rsid w:val="00B74267"/>
    <w:rsid w:val="00B74F86"/>
    <w:rsid w:val="00B7584F"/>
    <w:rsid w:val="00B76461"/>
    <w:rsid w:val="00B76715"/>
    <w:rsid w:val="00B76BF6"/>
    <w:rsid w:val="00B773C1"/>
    <w:rsid w:val="00B77874"/>
    <w:rsid w:val="00B77AC0"/>
    <w:rsid w:val="00B77B24"/>
    <w:rsid w:val="00B8192B"/>
    <w:rsid w:val="00B81CFC"/>
    <w:rsid w:val="00B8204B"/>
    <w:rsid w:val="00B82839"/>
    <w:rsid w:val="00B83F45"/>
    <w:rsid w:val="00B853A1"/>
    <w:rsid w:val="00B8622E"/>
    <w:rsid w:val="00B86DE5"/>
    <w:rsid w:val="00B86FC2"/>
    <w:rsid w:val="00B87017"/>
    <w:rsid w:val="00B87218"/>
    <w:rsid w:val="00B879CD"/>
    <w:rsid w:val="00B87C84"/>
    <w:rsid w:val="00B90258"/>
    <w:rsid w:val="00B90407"/>
    <w:rsid w:val="00B90FE6"/>
    <w:rsid w:val="00B9171F"/>
    <w:rsid w:val="00B91931"/>
    <w:rsid w:val="00B91939"/>
    <w:rsid w:val="00B91D30"/>
    <w:rsid w:val="00B91F3A"/>
    <w:rsid w:val="00B91FC2"/>
    <w:rsid w:val="00B93076"/>
    <w:rsid w:val="00B938BD"/>
    <w:rsid w:val="00B93A3A"/>
    <w:rsid w:val="00B93AA4"/>
    <w:rsid w:val="00B93B95"/>
    <w:rsid w:val="00B9426F"/>
    <w:rsid w:val="00B94302"/>
    <w:rsid w:val="00B951CC"/>
    <w:rsid w:val="00B9532E"/>
    <w:rsid w:val="00B957B9"/>
    <w:rsid w:val="00B961B6"/>
    <w:rsid w:val="00B9636C"/>
    <w:rsid w:val="00B963D5"/>
    <w:rsid w:val="00B96D48"/>
    <w:rsid w:val="00B9709B"/>
    <w:rsid w:val="00B9745A"/>
    <w:rsid w:val="00B976EE"/>
    <w:rsid w:val="00B9781C"/>
    <w:rsid w:val="00B97AC0"/>
    <w:rsid w:val="00B97B46"/>
    <w:rsid w:val="00B97E75"/>
    <w:rsid w:val="00BA04F7"/>
    <w:rsid w:val="00BA089A"/>
    <w:rsid w:val="00BA0CE6"/>
    <w:rsid w:val="00BA1295"/>
    <w:rsid w:val="00BA1EEA"/>
    <w:rsid w:val="00BA207A"/>
    <w:rsid w:val="00BA23F0"/>
    <w:rsid w:val="00BA2EBF"/>
    <w:rsid w:val="00BA33E4"/>
    <w:rsid w:val="00BA3DDE"/>
    <w:rsid w:val="00BA3F1C"/>
    <w:rsid w:val="00BA400B"/>
    <w:rsid w:val="00BA4443"/>
    <w:rsid w:val="00BA4BD3"/>
    <w:rsid w:val="00BA4ECC"/>
    <w:rsid w:val="00BA56B8"/>
    <w:rsid w:val="00BA5860"/>
    <w:rsid w:val="00BA591B"/>
    <w:rsid w:val="00BA5B48"/>
    <w:rsid w:val="00BA6496"/>
    <w:rsid w:val="00BA657E"/>
    <w:rsid w:val="00BA6815"/>
    <w:rsid w:val="00BA78BB"/>
    <w:rsid w:val="00BA7BEC"/>
    <w:rsid w:val="00BB0284"/>
    <w:rsid w:val="00BB0C99"/>
    <w:rsid w:val="00BB18AA"/>
    <w:rsid w:val="00BB1B7C"/>
    <w:rsid w:val="00BB2239"/>
    <w:rsid w:val="00BB224B"/>
    <w:rsid w:val="00BB2D60"/>
    <w:rsid w:val="00BB2E32"/>
    <w:rsid w:val="00BB373C"/>
    <w:rsid w:val="00BB3A9B"/>
    <w:rsid w:val="00BB3D13"/>
    <w:rsid w:val="00BB3FE7"/>
    <w:rsid w:val="00BB44EC"/>
    <w:rsid w:val="00BB4BC3"/>
    <w:rsid w:val="00BB4CBF"/>
    <w:rsid w:val="00BB51A1"/>
    <w:rsid w:val="00BB57D8"/>
    <w:rsid w:val="00BB5AA8"/>
    <w:rsid w:val="00BB74CC"/>
    <w:rsid w:val="00BB7B29"/>
    <w:rsid w:val="00BB7BDF"/>
    <w:rsid w:val="00BC0585"/>
    <w:rsid w:val="00BC0ACE"/>
    <w:rsid w:val="00BC0AF3"/>
    <w:rsid w:val="00BC11DD"/>
    <w:rsid w:val="00BC1EAC"/>
    <w:rsid w:val="00BC23A0"/>
    <w:rsid w:val="00BC2679"/>
    <w:rsid w:val="00BC270E"/>
    <w:rsid w:val="00BC34B5"/>
    <w:rsid w:val="00BC3B98"/>
    <w:rsid w:val="00BC3C6D"/>
    <w:rsid w:val="00BC3CBE"/>
    <w:rsid w:val="00BC4135"/>
    <w:rsid w:val="00BC475C"/>
    <w:rsid w:val="00BC4B67"/>
    <w:rsid w:val="00BC53A2"/>
    <w:rsid w:val="00BC5C92"/>
    <w:rsid w:val="00BC681A"/>
    <w:rsid w:val="00BC6AF0"/>
    <w:rsid w:val="00BC6F88"/>
    <w:rsid w:val="00BC726C"/>
    <w:rsid w:val="00BC72D9"/>
    <w:rsid w:val="00BC781D"/>
    <w:rsid w:val="00BC7C4D"/>
    <w:rsid w:val="00BD086E"/>
    <w:rsid w:val="00BD08AE"/>
    <w:rsid w:val="00BD0B0B"/>
    <w:rsid w:val="00BD14C3"/>
    <w:rsid w:val="00BD2164"/>
    <w:rsid w:val="00BD2643"/>
    <w:rsid w:val="00BD2DB7"/>
    <w:rsid w:val="00BD2FB2"/>
    <w:rsid w:val="00BD335D"/>
    <w:rsid w:val="00BD380C"/>
    <w:rsid w:val="00BD3845"/>
    <w:rsid w:val="00BD3CAA"/>
    <w:rsid w:val="00BD3E87"/>
    <w:rsid w:val="00BD4871"/>
    <w:rsid w:val="00BD48C1"/>
    <w:rsid w:val="00BD49DF"/>
    <w:rsid w:val="00BD5FE4"/>
    <w:rsid w:val="00BD6268"/>
    <w:rsid w:val="00BD6727"/>
    <w:rsid w:val="00BD767B"/>
    <w:rsid w:val="00BD76E0"/>
    <w:rsid w:val="00BD7B9D"/>
    <w:rsid w:val="00BD7DB6"/>
    <w:rsid w:val="00BE0662"/>
    <w:rsid w:val="00BE0A59"/>
    <w:rsid w:val="00BE11A6"/>
    <w:rsid w:val="00BE186B"/>
    <w:rsid w:val="00BE1BED"/>
    <w:rsid w:val="00BE1CFC"/>
    <w:rsid w:val="00BE288D"/>
    <w:rsid w:val="00BE2B94"/>
    <w:rsid w:val="00BE2F03"/>
    <w:rsid w:val="00BE3251"/>
    <w:rsid w:val="00BE38F1"/>
    <w:rsid w:val="00BE391F"/>
    <w:rsid w:val="00BE4800"/>
    <w:rsid w:val="00BE4843"/>
    <w:rsid w:val="00BE4899"/>
    <w:rsid w:val="00BE4AA5"/>
    <w:rsid w:val="00BE5172"/>
    <w:rsid w:val="00BE5372"/>
    <w:rsid w:val="00BE5386"/>
    <w:rsid w:val="00BE58E0"/>
    <w:rsid w:val="00BE5933"/>
    <w:rsid w:val="00BE61B9"/>
    <w:rsid w:val="00BE65CD"/>
    <w:rsid w:val="00BE701E"/>
    <w:rsid w:val="00BE728B"/>
    <w:rsid w:val="00BF0024"/>
    <w:rsid w:val="00BF091C"/>
    <w:rsid w:val="00BF0C51"/>
    <w:rsid w:val="00BF0FFD"/>
    <w:rsid w:val="00BF1105"/>
    <w:rsid w:val="00BF1260"/>
    <w:rsid w:val="00BF184B"/>
    <w:rsid w:val="00BF198C"/>
    <w:rsid w:val="00BF1CE7"/>
    <w:rsid w:val="00BF254C"/>
    <w:rsid w:val="00BF2DBB"/>
    <w:rsid w:val="00BF3CD6"/>
    <w:rsid w:val="00BF3DB7"/>
    <w:rsid w:val="00BF494F"/>
    <w:rsid w:val="00BF4B4F"/>
    <w:rsid w:val="00BF59BC"/>
    <w:rsid w:val="00BF5A71"/>
    <w:rsid w:val="00BF5DB7"/>
    <w:rsid w:val="00BF605E"/>
    <w:rsid w:val="00BF6B3B"/>
    <w:rsid w:val="00BF7021"/>
    <w:rsid w:val="00BF7436"/>
    <w:rsid w:val="00BF7D2C"/>
    <w:rsid w:val="00C00591"/>
    <w:rsid w:val="00C00837"/>
    <w:rsid w:val="00C00E10"/>
    <w:rsid w:val="00C02A2B"/>
    <w:rsid w:val="00C0317F"/>
    <w:rsid w:val="00C0348B"/>
    <w:rsid w:val="00C0397A"/>
    <w:rsid w:val="00C03B5B"/>
    <w:rsid w:val="00C045D0"/>
    <w:rsid w:val="00C04C64"/>
    <w:rsid w:val="00C0512A"/>
    <w:rsid w:val="00C05777"/>
    <w:rsid w:val="00C057BE"/>
    <w:rsid w:val="00C05C29"/>
    <w:rsid w:val="00C06572"/>
    <w:rsid w:val="00C065F9"/>
    <w:rsid w:val="00C06BDC"/>
    <w:rsid w:val="00C0794F"/>
    <w:rsid w:val="00C07CD1"/>
    <w:rsid w:val="00C07D6F"/>
    <w:rsid w:val="00C1021A"/>
    <w:rsid w:val="00C10DD8"/>
    <w:rsid w:val="00C10F72"/>
    <w:rsid w:val="00C11964"/>
    <w:rsid w:val="00C11E21"/>
    <w:rsid w:val="00C121A7"/>
    <w:rsid w:val="00C121F6"/>
    <w:rsid w:val="00C12289"/>
    <w:rsid w:val="00C12F8A"/>
    <w:rsid w:val="00C147C0"/>
    <w:rsid w:val="00C14EF7"/>
    <w:rsid w:val="00C1519D"/>
    <w:rsid w:val="00C157A2"/>
    <w:rsid w:val="00C15AB5"/>
    <w:rsid w:val="00C15BF7"/>
    <w:rsid w:val="00C15C5A"/>
    <w:rsid w:val="00C164FB"/>
    <w:rsid w:val="00C165D7"/>
    <w:rsid w:val="00C168D1"/>
    <w:rsid w:val="00C16B4D"/>
    <w:rsid w:val="00C16F55"/>
    <w:rsid w:val="00C17D76"/>
    <w:rsid w:val="00C20C3B"/>
    <w:rsid w:val="00C212CA"/>
    <w:rsid w:val="00C21547"/>
    <w:rsid w:val="00C21852"/>
    <w:rsid w:val="00C218CF"/>
    <w:rsid w:val="00C21CF8"/>
    <w:rsid w:val="00C22101"/>
    <w:rsid w:val="00C22BD3"/>
    <w:rsid w:val="00C22D60"/>
    <w:rsid w:val="00C22E4D"/>
    <w:rsid w:val="00C2355B"/>
    <w:rsid w:val="00C23610"/>
    <w:rsid w:val="00C23D56"/>
    <w:rsid w:val="00C23FE8"/>
    <w:rsid w:val="00C24353"/>
    <w:rsid w:val="00C247F7"/>
    <w:rsid w:val="00C248C1"/>
    <w:rsid w:val="00C24ADA"/>
    <w:rsid w:val="00C24EF1"/>
    <w:rsid w:val="00C253B6"/>
    <w:rsid w:val="00C2575B"/>
    <w:rsid w:val="00C265A0"/>
    <w:rsid w:val="00C2664F"/>
    <w:rsid w:val="00C2767C"/>
    <w:rsid w:val="00C2791E"/>
    <w:rsid w:val="00C27965"/>
    <w:rsid w:val="00C27AB7"/>
    <w:rsid w:val="00C27B9C"/>
    <w:rsid w:val="00C27F74"/>
    <w:rsid w:val="00C3046C"/>
    <w:rsid w:val="00C30549"/>
    <w:rsid w:val="00C3067D"/>
    <w:rsid w:val="00C30681"/>
    <w:rsid w:val="00C308A2"/>
    <w:rsid w:val="00C30CE1"/>
    <w:rsid w:val="00C32847"/>
    <w:rsid w:val="00C329E1"/>
    <w:rsid w:val="00C32B0E"/>
    <w:rsid w:val="00C334AD"/>
    <w:rsid w:val="00C33B8D"/>
    <w:rsid w:val="00C3450F"/>
    <w:rsid w:val="00C34667"/>
    <w:rsid w:val="00C348E4"/>
    <w:rsid w:val="00C34D3A"/>
    <w:rsid w:val="00C362D5"/>
    <w:rsid w:val="00C37D73"/>
    <w:rsid w:val="00C40659"/>
    <w:rsid w:val="00C40F52"/>
    <w:rsid w:val="00C41D45"/>
    <w:rsid w:val="00C428FA"/>
    <w:rsid w:val="00C42CB9"/>
    <w:rsid w:val="00C42D37"/>
    <w:rsid w:val="00C431D8"/>
    <w:rsid w:val="00C4320C"/>
    <w:rsid w:val="00C4383B"/>
    <w:rsid w:val="00C43C9E"/>
    <w:rsid w:val="00C440D8"/>
    <w:rsid w:val="00C442A0"/>
    <w:rsid w:val="00C44D90"/>
    <w:rsid w:val="00C44DF4"/>
    <w:rsid w:val="00C452EE"/>
    <w:rsid w:val="00C4590D"/>
    <w:rsid w:val="00C45AE3"/>
    <w:rsid w:val="00C45B6B"/>
    <w:rsid w:val="00C46027"/>
    <w:rsid w:val="00C4647E"/>
    <w:rsid w:val="00C468C5"/>
    <w:rsid w:val="00C46D33"/>
    <w:rsid w:val="00C4754C"/>
    <w:rsid w:val="00C47F59"/>
    <w:rsid w:val="00C5044E"/>
    <w:rsid w:val="00C51BB6"/>
    <w:rsid w:val="00C51DB5"/>
    <w:rsid w:val="00C52138"/>
    <w:rsid w:val="00C523AB"/>
    <w:rsid w:val="00C53ADD"/>
    <w:rsid w:val="00C54202"/>
    <w:rsid w:val="00C549F1"/>
    <w:rsid w:val="00C54A9F"/>
    <w:rsid w:val="00C54E8C"/>
    <w:rsid w:val="00C55649"/>
    <w:rsid w:val="00C55661"/>
    <w:rsid w:val="00C55EF4"/>
    <w:rsid w:val="00C56529"/>
    <w:rsid w:val="00C5654D"/>
    <w:rsid w:val="00C56A24"/>
    <w:rsid w:val="00C57997"/>
    <w:rsid w:val="00C57E34"/>
    <w:rsid w:val="00C605D1"/>
    <w:rsid w:val="00C60A1B"/>
    <w:rsid w:val="00C60A28"/>
    <w:rsid w:val="00C60B6C"/>
    <w:rsid w:val="00C60C58"/>
    <w:rsid w:val="00C61383"/>
    <w:rsid w:val="00C61657"/>
    <w:rsid w:val="00C616B1"/>
    <w:rsid w:val="00C617CA"/>
    <w:rsid w:val="00C61A16"/>
    <w:rsid w:val="00C620E4"/>
    <w:rsid w:val="00C63902"/>
    <w:rsid w:val="00C63EBF"/>
    <w:rsid w:val="00C63F47"/>
    <w:rsid w:val="00C64864"/>
    <w:rsid w:val="00C64A4F"/>
    <w:rsid w:val="00C653ED"/>
    <w:rsid w:val="00C65424"/>
    <w:rsid w:val="00C65C9D"/>
    <w:rsid w:val="00C66621"/>
    <w:rsid w:val="00C67615"/>
    <w:rsid w:val="00C678AB"/>
    <w:rsid w:val="00C67A68"/>
    <w:rsid w:val="00C702A5"/>
    <w:rsid w:val="00C70930"/>
    <w:rsid w:val="00C70B0E"/>
    <w:rsid w:val="00C715D6"/>
    <w:rsid w:val="00C715F6"/>
    <w:rsid w:val="00C717DA"/>
    <w:rsid w:val="00C71AB1"/>
    <w:rsid w:val="00C7286F"/>
    <w:rsid w:val="00C7287A"/>
    <w:rsid w:val="00C7361A"/>
    <w:rsid w:val="00C73BFE"/>
    <w:rsid w:val="00C73D51"/>
    <w:rsid w:val="00C73E0E"/>
    <w:rsid w:val="00C74F7B"/>
    <w:rsid w:val="00C74FE2"/>
    <w:rsid w:val="00C75038"/>
    <w:rsid w:val="00C75329"/>
    <w:rsid w:val="00C754E3"/>
    <w:rsid w:val="00C75665"/>
    <w:rsid w:val="00C7649E"/>
    <w:rsid w:val="00C76D30"/>
    <w:rsid w:val="00C77B7D"/>
    <w:rsid w:val="00C810C1"/>
    <w:rsid w:val="00C81201"/>
    <w:rsid w:val="00C81DAE"/>
    <w:rsid w:val="00C81DD9"/>
    <w:rsid w:val="00C82458"/>
    <w:rsid w:val="00C8285F"/>
    <w:rsid w:val="00C833C1"/>
    <w:rsid w:val="00C84732"/>
    <w:rsid w:val="00C850E2"/>
    <w:rsid w:val="00C850EC"/>
    <w:rsid w:val="00C85816"/>
    <w:rsid w:val="00C859FF"/>
    <w:rsid w:val="00C860BA"/>
    <w:rsid w:val="00C863FD"/>
    <w:rsid w:val="00C86754"/>
    <w:rsid w:val="00C868D0"/>
    <w:rsid w:val="00C86A9E"/>
    <w:rsid w:val="00C86CE5"/>
    <w:rsid w:val="00C86FA9"/>
    <w:rsid w:val="00C873BA"/>
    <w:rsid w:val="00C877D1"/>
    <w:rsid w:val="00C9008F"/>
    <w:rsid w:val="00C90597"/>
    <w:rsid w:val="00C91106"/>
    <w:rsid w:val="00C91863"/>
    <w:rsid w:val="00C92000"/>
    <w:rsid w:val="00C92244"/>
    <w:rsid w:val="00C927F9"/>
    <w:rsid w:val="00C92D5B"/>
    <w:rsid w:val="00C9310F"/>
    <w:rsid w:val="00C93328"/>
    <w:rsid w:val="00C9334B"/>
    <w:rsid w:val="00C9394E"/>
    <w:rsid w:val="00C941E7"/>
    <w:rsid w:val="00C948C1"/>
    <w:rsid w:val="00C94F88"/>
    <w:rsid w:val="00C95770"/>
    <w:rsid w:val="00C95E90"/>
    <w:rsid w:val="00C968E8"/>
    <w:rsid w:val="00C97C13"/>
    <w:rsid w:val="00CA00D9"/>
    <w:rsid w:val="00CA043F"/>
    <w:rsid w:val="00CA08C7"/>
    <w:rsid w:val="00CA0EA6"/>
    <w:rsid w:val="00CA0F93"/>
    <w:rsid w:val="00CA10CF"/>
    <w:rsid w:val="00CA114C"/>
    <w:rsid w:val="00CA12B8"/>
    <w:rsid w:val="00CA145B"/>
    <w:rsid w:val="00CA179A"/>
    <w:rsid w:val="00CA1921"/>
    <w:rsid w:val="00CA1FDF"/>
    <w:rsid w:val="00CA22C2"/>
    <w:rsid w:val="00CA2B52"/>
    <w:rsid w:val="00CA33B3"/>
    <w:rsid w:val="00CA415A"/>
    <w:rsid w:val="00CA4783"/>
    <w:rsid w:val="00CA4FC5"/>
    <w:rsid w:val="00CA564E"/>
    <w:rsid w:val="00CA584B"/>
    <w:rsid w:val="00CA595C"/>
    <w:rsid w:val="00CA5D31"/>
    <w:rsid w:val="00CA61DB"/>
    <w:rsid w:val="00CA63C1"/>
    <w:rsid w:val="00CA6571"/>
    <w:rsid w:val="00CA682F"/>
    <w:rsid w:val="00CA7A77"/>
    <w:rsid w:val="00CA7A8F"/>
    <w:rsid w:val="00CA7B82"/>
    <w:rsid w:val="00CA7D90"/>
    <w:rsid w:val="00CB03EB"/>
    <w:rsid w:val="00CB0C02"/>
    <w:rsid w:val="00CB1076"/>
    <w:rsid w:val="00CB14C9"/>
    <w:rsid w:val="00CB15FA"/>
    <w:rsid w:val="00CB2292"/>
    <w:rsid w:val="00CB2AC4"/>
    <w:rsid w:val="00CB31FD"/>
    <w:rsid w:val="00CB40CF"/>
    <w:rsid w:val="00CB4BCD"/>
    <w:rsid w:val="00CB4F96"/>
    <w:rsid w:val="00CB5A2A"/>
    <w:rsid w:val="00CB64B1"/>
    <w:rsid w:val="00CB64B3"/>
    <w:rsid w:val="00CB691C"/>
    <w:rsid w:val="00CB6D36"/>
    <w:rsid w:val="00CB6E8B"/>
    <w:rsid w:val="00CB6F7D"/>
    <w:rsid w:val="00CB6F9E"/>
    <w:rsid w:val="00CB72F8"/>
    <w:rsid w:val="00CB7510"/>
    <w:rsid w:val="00CB7651"/>
    <w:rsid w:val="00CB76E5"/>
    <w:rsid w:val="00CC0718"/>
    <w:rsid w:val="00CC088B"/>
    <w:rsid w:val="00CC0AD1"/>
    <w:rsid w:val="00CC15D1"/>
    <w:rsid w:val="00CC1634"/>
    <w:rsid w:val="00CC1E28"/>
    <w:rsid w:val="00CC333E"/>
    <w:rsid w:val="00CC3A40"/>
    <w:rsid w:val="00CC3D9F"/>
    <w:rsid w:val="00CC3E8B"/>
    <w:rsid w:val="00CC40E0"/>
    <w:rsid w:val="00CC40F2"/>
    <w:rsid w:val="00CC4671"/>
    <w:rsid w:val="00CC4729"/>
    <w:rsid w:val="00CC524E"/>
    <w:rsid w:val="00CC5312"/>
    <w:rsid w:val="00CC6035"/>
    <w:rsid w:val="00CC61DF"/>
    <w:rsid w:val="00CD0343"/>
    <w:rsid w:val="00CD09BB"/>
    <w:rsid w:val="00CD0D25"/>
    <w:rsid w:val="00CD0DDD"/>
    <w:rsid w:val="00CD1B20"/>
    <w:rsid w:val="00CD1D00"/>
    <w:rsid w:val="00CD1D6F"/>
    <w:rsid w:val="00CD227D"/>
    <w:rsid w:val="00CD2438"/>
    <w:rsid w:val="00CD256A"/>
    <w:rsid w:val="00CD27BB"/>
    <w:rsid w:val="00CD2B0C"/>
    <w:rsid w:val="00CD2BEE"/>
    <w:rsid w:val="00CD3593"/>
    <w:rsid w:val="00CD37F7"/>
    <w:rsid w:val="00CD387D"/>
    <w:rsid w:val="00CD38AD"/>
    <w:rsid w:val="00CD3C4B"/>
    <w:rsid w:val="00CD3F25"/>
    <w:rsid w:val="00CD4440"/>
    <w:rsid w:val="00CD4753"/>
    <w:rsid w:val="00CD5714"/>
    <w:rsid w:val="00CD57BB"/>
    <w:rsid w:val="00CD593F"/>
    <w:rsid w:val="00CD6A8B"/>
    <w:rsid w:val="00CE03DC"/>
    <w:rsid w:val="00CE03ED"/>
    <w:rsid w:val="00CE0413"/>
    <w:rsid w:val="00CE0C12"/>
    <w:rsid w:val="00CE1347"/>
    <w:rsid w:val="00CE13D7"/>
    <w:rsid w:val="00CE1B8D"/>
    <w:rsid w:val="00CE2C82"/>
    <w:rsid w:val="00CE2F1E"/>
    <w:rsid w:val="00CE305E"/>
    <w:rsid w:val="00CE3491"/>
    <w:rsid w:val="00CE3987"/>
    <w:rsid w:val="00CE3D1E"/>
    <w:rsid w:val="00CE3E6B"/>
    <w:rsid w:val="00CE3F2F"/>
    <w:rsid w:val="00CE49C6"/>
    <w:rsid w:val="00CE4BAE"/>
    <w:rsid w:val="00CE4E34"/>
    <w:rsid w:val="00CE50C7"/>
    <w:rsid w:val="00CE5A4E"/>
    <w:rsid w:val="00CE6519"/>
    <w:rsid w:val="00CE6A61"/>
    <w:rsid w:val="00CE6C1A"/>
    <w:rsid w:val="00CE73F5"/>
    <w:rsid w:val="00CE79DC"/>
    <w:rsid w:val="00CF031D"/>
    <w:rsid w:val="00CF13D8"/>
    <w:rsid w:val="00CF17C8"/>
    <w:rsid w:val="00CF193D"/>
    <w:rsid w:val="00CF19F8"/>
    <w:rsid w:val="00CF1AE4"/>
    <w:rsid w:val="00CF1BE0"/>
    <w:rsid w:val="00CF230C"/>
    <w:rsid w:val="00CF23B1"/>
    <w:rsid w:val="00CF23F8"/>
    <w:rsid w:val="00CF2C6E"/>
    <w:rsid w:val="00CF2F05"/>
    <w:rsid w:val="00CF31B9"/>
    <w:rsid w:val="00CF3550"/>
    <w:rsid w:val="00CF4473"/>
    <w:rsid w:val="00CF44CC"/>
    <w:rsid w:val="00CF4576"/>
    <w:rsid w:val="00CF46DE"/>
    <w:rsid w:val="00CF4D14"/>
    <w:rsid w:val="00CF5D0D"/>
    <w:rsid w:val="00CF60DB"/>
    <w:rsid w:val="00CF6AC6"/>
    <w:rsid w:val="00CF6B1D"/>
    <w:rsid w:val="00CF6CBC"/>
    <w:rsid w:val="00CF6D49"/>
    <w:rsid w:val="00CF734A"/>
    <w:rsid w:val="00CF75F3"/>
    <w:rsid w:val="00CF7F3D"/>
    <w:rsid w:val="00D00D54"/>
    <w:rsid w:val="00D010E2"/>
    <w:rsid w:val="00D01FE8"/>
    <w:rsid w:val="00D0241E"/>
    <w:rsid w:val="00D02884"/>
    <w:rsid w:val="00D02C72"/>
    <w:rsid w:val="00D03D20"/>
    <w:rsid w:val="00D03EBA"/>
    <w:rsid w:val="00D03FAB"/>
    <w:rsid w:val="00D04160"/>
    <w:rsid w:val="00D053BF"/>
    <w:rsid w:val="00D0570B"/>
    <w:rsid w:val="00D05ED6"/>
    <w:rsid w:val="00D06012"/>
    <w:rsid w:val="00D060E9"/>
    <w:rsid w:val="00D063E0"/>
    <w:rsid w:val="00D06916"/>
    <w:rsid w:val="00D06CD7"/>
    <w:rsid w:val="00D07B40"/>
    <w:rsid w:val="00D1044D"/>
    <w:rsid w:val="00D1048E"/>
    <w:rsid w:val="00D115E0"/>
    <w:rsid w:val="00D119DB"/>
    <w:rsid w:val="00D12AD1"/>
    <w:rsid w:val="00D133D8"/>
    <w:rsid w:val="00D137A8"/>
    <w:rsid w:val="00D13ABE"/>
    <w:rsid w:val="00D14871"/>
    <w:rsid w:val="00D14F52"/>
    <w:rsid w:val="00D15008"/>
    <w:rsid w:val="00D1511E"/>
    <w:rsid w:val="00D15D21"/>
    <w:rsid w:val="00D162B2"/>
    <w:rsid w:val="00D1716A"/>
    <w:rsid w:val="00D17DBB"/>
    <w:rsid w:val="00D21603"/>
    <w:rsid w:val="00D223CD"/>
    <w:rsid w:val="00D24075"/>
    <w:rsid w:val="00D24286"/>
    <w:rsid w:val="00D2436D"/>
    <w:rsid w:val="00D2520B"/>
    <w:rsid w:val="00D25733"/>
    <w:rsid w:val="00D25DA6"/>
    <w:rsid w:val="00D25F2C"/>
    <w:rsid w:val="00D26196"/>
    <w:rsid w:val="00D26629"/>
    <w:rsid w:val="00D267FC"/>
    <w:rsid w:val="00D26A68"/>
    <w:rsid w:val="00D26B68"/>
    <w:rsid w:val="00D2702A"/>
    <w:rsid w:val="00D278AC"/>
    <w:rsid w:val="00D27BC6"/>
    <w:rsid w:val="00D30297"/>
    <w:rsid w:val="00D3042A"/>
    <w:rsid w:val="00D308E8"/>
    <w:rsid w:val="00D30CF0"/>
    <w:rsid w:val="00D30DE9"/>
    <w:rsid w:val="00D30FDF"/>
    <w:rsid w:val="00D31170"/>
    <w:rsid w:val="00D31268"/>
    <w:rsid w:val="00D317F2"/>
    <w:rsid w:val="00D3264C"/>
    <w:rsid w:val="00D327C0"/>
    <w:rsid w:val="00D32B7D"/>
    <w:rsid w:val="00D32BF9"/>
    <w:rsid w:val="00D32E2F"/>
    <w:rsid w:val="00D336C7"/>
    <w:rsid w:val="00D338DA"/>
    <w:rsid w:val="00D33E9D"/>
    <w:rsid w:val="00D34BA6"/>
    <w:rsid w:val="00D35195"/>
    <w:rsid w:val="00D36B65"/>
    <w:rsid w:val="00D40321"/>
    <w:rsid w:val="00D4089D"/>
    <w:rsid w:val="00D413F8"/>
    <w:rsid w:val="00D41411"/>
    <w:rsid w:val="00D435FE"/>
    <w:rsid w:val="00D43899"/>
    <w:rsid w:val="00D43B06"/>
    <w:rsid w:val="00D44183"/>
    <w:rsid w:val="00D44427"/>
    <w:rsid w:val="00D44DF8"/>
    <w:rsid w:val="00D44E9A"/>
    <w:rsid w:val="00D4530A"/>
    <w:rsid w:val="00D458B5"/>
    <w:rsid w:val="00D4593E"/>
    <w:rsid w:val="00D4594B"/>
    <w:rsid w:val="00D46454"/>
    <w:rsid w:val="00D46724"/>
    <w:rsid w:val="00D46B39"/>
    <w:rsid w:val="00D477AB"/>
    <w:rsid w:val="00D47D79"/>
    <w:rsid w:val="00D47FDF"/>
    <w:rsid w:val="00D506F5"/>
    <w:rsid w:val="00D507D2"/>
    <w:rsid w:val="00D50A59"/>
    <w:rsid w:val="00D50DFB"/>
    <w:rsid w:val="00D50F9C"/>
    <w:rsid w:val="00D50FFD"/>
    <w:rsid w:val="00D5163C"/>
    <w:rsid w:val="00D519D3"/>
    <w:rsid w:val="00D51A3C"/>
    <w:rsid w:val="00D51AD2"/>
    <w:rsid w:val="00D52960"/>
    <w:rsid w:val="00D529E2"/>
    <w:rsid w:val="00D529E3"/>
    <w:rsid w:val="00D52F23"/>
    <w:rsid w:val="00D533C2"/>
    <w:rsid w:val="00D533FE"/>
    <w:rsid w:val="00D546E9"/>
    <w:rsid w:val="00D54D31"/>
    <w:rsid w:val="00D55A0D"/>
    <w:rsid w:val="00D5653E"/>
    <w:rsid w:val="00D56774"/>
    <w:rsid w:val="00D567D3"/>
    <w:rsid w:val="00D56BB6"/>
    <w:rsid w:val="00D56E29"/>
    <w:rsid w:val="00D570A3"/>
    <w:rsid w:val="00D57799"/>
    <w:rsid w:val="00D57BC9"/>
    <w:rsid w:val="00D57F37"/>
    <w:rsid w:val="00D601AE"/>
    <w:rsid w:val="00D6072F"/>
    <w:rsid w:val="00D60B79"/>
    <w:rsid w:val="00D6121F"/>
    <w:rsid w:val="00D61470"/>
    <w:rsid w:val="00D61EEC"/>
    <w:rsid w:val="00D62673"/>
    <w:rsid w:val="00D62B56"/>
    <w:rsid w:val="00D62DD0"/>
    <w:rsid w:val="00D62E3B"/>
    <w:rsid w:val="00D6302D"/>
    <w:rsid w:val="00D63B14"/>
    <w:rsid w:val="00D63C56"/>
    <w:rsid w:val="00D64F49"/>
    <w:rsid w:val="00D6541C"/>
    <w:rsid w:val="00D65D9E"/>
    <w:rsid w:val="00D65F67"/>
    <w:rsid w:val="00D667E2"/>
    <w:rsid w:val="00D66C3F"/>
    <w:rsid w:val="00D66F29"/>
    <w:rsid w:val="00D70CEF"/>
    <w:rsid w:val="00D711AD"/>
    <w:rsid w:val="00D7120F"/>
    <w:rsid w:val="00D71B5F"/>
    <w:rsid w:val="00D7248B"/>
    <w:rsid w:val="00D72C65"/>
    <w:rsid w:val="00D7369F"/>
    <w:rsid w:val="00D74875"/>
    <w:rsid w:val="00D75227"/>
    <w:rsid w:val="00D75679"/>
    <w:rsid w:val="00D756E2"/>
    <w:rsid w:val="00D75888"/>
    <w:rsid w:val="00D759A0"/>
    <w:rsid w:val="00D75F4A"/>
    <w:rsid w:val="00D760B1"/>
    <w:rsid w:val="00D76F36"/>
    <w:rsid w:val="00D778A2"/>
    <w:rsid w:val="00D804D8"/>
    <w:rsid w:val="00D80FD8"/>
    <w:rsid w:val="00D816ED"/>
    <w:rsid w:val="00D8170A"/>
    <w:rsid w:val="00D831D5"/>
    <w:rsid w:val="00D83A65"/>
    <w:rsid w:val="00D840CF"/>
    <w:rsid w:val="00D847AB"/>
    <w:rsid w:val="00D8497A"/>
    <w:rsid w:val="00D84C9F"/>
    <w:rsid w:val="00D85ED9"/>
    <w:rsid w:val="00D86194"/>
    <w:rsid w:val="00D863DE"/>
    <w:rsid w:val="00D867AB"/>
    <w:rsid w:val="00D869F2"/>
    <w:rsid w:val="00D86F9E"/>
    <w:rsid w:val="00D8736B"/>
    <w:rsid w:val="00D87987"/>
    <w:rsid w:val="00D87C9D"/>
    <w:rsid w:val="00D87E13"/>
    <w:rsid w:val="00D9056D"/>
    <w:rsid w:val="00D906D5"/>
    <w:rsid w:val="00D90D40"/>
    <w:rsid w:val="00D917A5"/>
    <w:rsid w:val="00D92B0E"/>
    <w:rsid w:val="00D935F3"/>
    <w:rsid w:val="00D9396E"/>
    <w:rsid w:val="00D93AC0"/>
    <w:rsid w:val="00D93AD0"/>
    <w:rsid w:val="00D945E5"/>
    <w:rsid w:val="00D948EB"/>
    <w:rsid w:val="00D94A34"/>
    <w:rsid w:val="00D94B03"/>
    <w:rsid w:val="00D94BD8"/>
    <w:rsid w:val="00D95C2D"/>
    <w:rsid w:val="00D95D8A"/>
    <w:rsid w:val="00D96FCF"/>
    <w:rsid w:val="00D96FEC"/>
    <w:rsid w:val="00D9740F"/>
    <w:rsid w:val="00D97601"/>
    <w:rsid w:val="00D97B60"/>
    <w:rsid w:val="00DA04C3"/>
    <w:rsid w:val="00DA1271"/>
    <w:rsid w:val="00DA21B5"/>
    <w:rsid w:val="00DA2C1C"/>
    <w:rsid w:val="00DA2DCE"/>
    <w:rsid w:val="00DA3652"/>
    <w:rsid w:val="00DA397C"/>
    <w:rsid w:val="00DA3DF8"/>
    <w:rsid w:val="00DA4CEA"/>
    <w:rsid w:val="00DA5158"/>
    <w:rsid w:val="00DA51C4"/>
    <w:rsid w:val="00DA58DE"/>
    <w:rsid w:val="00DA6265"/>
    <w:rsid w:val="00DA6670"/>
    <w:rsid w:val="00DA6A48"/>
    <w:rsid w:val="00DA7760"/>
    <w:rsid w:val="00DA798F"/>
    <w:rsid w:val="00DA7CE5"/>
    <w:rsid w:val="00DB0800"/>
    <w:rsid w:val="00DB16F5"/>
    <w:rsid w:val="00DB1E63"/>
    <w:rsid w:val="00DB1FE3"/>
    <w:rsid w:val="00DB22A0"/>
    <w:rsid w:val="00DB24EF"/>
    <w:rsid w:val="00DB3296"/>
    <w:rsid w:val="00DB3F1C"/>
    <w:rsid w:val="00DB46CA"/>
    <w:rsid w:val="00DB4AC2"/>
    <w:rsid w:val="00DB4B23"/>
    <w:rsid w:val="00DB4BBB"/>
    <w:rsid w:val="00DB4DCD"/>
    <w:rsid w:val="00DB538A"/>
    <w:rsid w:val="00DB55B8"/>
    <w:rsid w:val="00DB5CD3"/>
    <w:rsid w:val="00DB624A"/>
    <w:rsid w:val="00DB6929"/>
    <w:rsid w:val="00DB6AA7"/>
    <w:rsid w:val="00DB6C08"/>
    <w:rsid w:val="00DB6C51"/>
    <w:rsid w:val="00DB6DE0"/>
    <w:rsid w:val="00DC0216"/>
    <w:rsid w:val="00DC0D92"/>
    <w:rsid w:val="00DC0E29"/>
    <w:rsid w:val="00DC1377"/>
    <w:rsid w:val="00DC1A3C"/>
    <w:rsid w:val="00DC1C16"/>
    <w:rsid w:val="00DC1C47"/>
    <w:rsid w:val="00DC1D90"/>
    <w:rsid w:val="00DC20EF"/>
    <w:rsid w:val="00DC226A"/>
    <w:rsid w:val="00DC2565"/>
    <w:rsid w:val="00DC3038"/>
    <w:rsid w:val="00DC4301"/>
    <w:rsid w:val="00DC4DDE"/>
    <w:rsid w:val="00DC50E1"/>
    <w:rsid w:val="00DC57E0"/>
    <w:rsid w:val="00DC60C8"/>
    <w:rsid w:val="00DC6A28"/>
    <w:rsid w:val="00DC6DCA"/>
    <w:rsid w:val="00DC6E4E"/>
    <w:rsid w:val="00DC7556"/>
    <w:rsid w:val="00DC7860"/>
    <w:rsid w:val="00DD0105"/>
    <w:rsid w:val="00DD012D"/>
    <w:rsid w:val="00DD0293"/>
    <w:rsid w:val="00DD035F"/>
    <w:rsid w:val="00DD1763"/>
    <w:rsid w:val="00DD2C12"/>
    <w:rsid w:val="00DD2C60"/>
    <w:rsid w:val="00DD2DF0"/>
    <w:rsid w:val="00DD34F4"/>
    <w:rsid w:val="00DD3526"/>
    <w:rsid w:val="00DD3899"/>
    <w:rsid w:val="00DD38D9"/>
    <w:rsid w:val="00DD3D6D"/>
    <w:rsid w:val="00DD49B9"/>
    <w:rsid w:val="00DD4A62"/>
    <w:rsid w:val="00DD5F34"/>
    <w:rsid w:val="00DD6A51"/>
    <w:rsid w:val="00DD722F"/>
    <w:rsid w:val="00DD7433"/>
    <w:rsid w:val="00DE1259"/>
    <w:rsid w:val="00DE22C4"/>
    <w:rsid w:val="00DE36F6"/>
    <w:rsid w:val="00DE3769"/>
    <w:rsid w:val="00DE39E1"/>
    <w:rsid w:val="00DE3B14"/>
    <w:rsid w:val="00DE3E5A"/>
    <w:rsid w:val="00DE404C"/>
    <w:rsid w:val="00DE487A"/>
    <w:rsid w:val="00DE4A53"/>
    <w:rsid w:val="00DE4F71"/>
    <w:rsid w:val="00DE4FCC"/>
    <w:rsid w:val="00DE57E3"/>
    <w:rsid w:val="00DE5964"/>
    <w:rsid w:val="00DE69BE"/>
    <w:rsid w:val="00DE7205"/>
    <w:rsid w:val="00DE7825"/>
    <w:rsid w:val="00DE78A9"/>
    <w:rsid w:val="00DF06DF"/>
    <w:rsid w:val="00DF0A84"/>
    <w:rsid w:val="00DF187D"/>
    <w:rsid w:val="00DF1EF1"/>
    <w:rsid w:val="00DF2201"/>
    <w:rsid w:val="00DF236C"/>
    <w:rsid w:val="00DF35D9"/>
    <w:rsid w:val="00DF3997"/>
    <w:rsid w:val="00DF4583"/>
    <w:rsid w:val="00DF459C"/>
    <w:rsid w:val="00DF47C3"/>
    <w:rsid w:val="00DF4858"/>
    <w:rsid w:val="00DF59AD"/>
    <w:rsid w:val="00DF5C20"/>
    <w:rsid w:val="00DF6485"/>
    <w:rsid w:val="00DF6F3C"/>
    <w:rsid w:val="00DF7091"/>
    <w:rsid w:val="00E001A8"/>
    <w:rsid w:val="00E00D4A"/>
    <w:rsid w:val="00E01065"/>
    <w:rsid w:val="00E01100"/>
    <w:rsid w:val="00E0152F"/>
    <w:rsid w:val="00E01A58"/>
    <w:rsid w:val="00E01AE2"/>
    <w:rsid w:val="00E01E33"/>
    <w:rsid w:val="00E031FA"/>
    <w:rsid w:val="00E03874"/>
    <w:rsid w:val="00E043E5"/>
    <w:rsid w:val="00E04AAA"/>
    <w:rsid w:val="00E05071"/>
    <w:rsid w:val="00E05D16"/>
    <w:rsid w:val="00E06761"/>
    <w:rsid w:val="00E06A77"/>
    <w:rsid w:val="00E06BE1"/>
    <w:rsid w:val="00E072B5"/>
    <w:rsid w:val="00E07443"/>
    <w:rsid w:val="00E075A0"/>
    <w:rsid w:val="00E0773D"/>
    <w:rsid w:val="00E07C13"/>
    <w:rsid w:val="00E1009B"/>
    <w:rsid w:val="00E10160"/>
    <w:rsid w:val="00E104E4"/>
    <w:rsid w:val="00E11000"/>
    <w:rsid w:val="00E111A4"/>
    <w:rsid w:val="00E1176D"/>
    <w:rsid w:val="00E11C2C"/>
    <w:rsid w:val="00E11FD2"/>
    <w:rsid w:val="00E12250"/>
    <w:rsid w:val="00E12FB4"/>
    <w:rsid w:val="00E13683"/>
    <w:rsid w:val="00E141DC"/>
    <w:rsid w:val="00E14752"/>
    <w:rsid w:val="00E14839"/>
    <w:rsid w:val="00E151BC"/>
    <w:rsid w:val="00E15206"/>
    <w:rsid w:val="00E15A23"/>
    <w:rsid w:val="00E15ACD"/>
    <w:rsid w:val="00E161EB"/>
    <w:rsid w:val="00E165DB"/>
    <w:rsid w:val="00E168E8"/>
    <w:rsid w:val="00E16F8D"/>
    <w:rsid w:val="00E176AA"/>
    <w:rsid w:val="00E17EC9"/>
    <w:rsid w:val="00E204EA"/>
    <w:rsid w:val="00E20573"/>
    <w:rsid w:val="00E20883"/>
    <w:rsid w:val="00E20DD1"/>
    <w:rsid w:val="00E20DFA"/>
    <w:rsid w:val="00E21249"/>
    <w:rsid w:val="00E21764"/>
    <w:rsid w:val="00E21CC2"/>
    <w:rsid w:val="00E21E24"/>
    <w:rsid w:val="00E21FA3"/>
    <w:rsid w:val="00E22546"/>
    <w:rsid w:val="00E22635"/>
    <w:rsid w:val="00E22B6B"/>
    <w:rsid w:val="00E22D60"/>
    <w:rsid w:val="00E22F93"/>
    <w:rsid w:val="00E233CC"/>
    <w:rsid w:val="00E242C7"/>
    <w:rsid w:val="00E244C9"/>
    <w:rsid w:val="00E2458F"/>
    <w:rsid w:val="00E246AB"/>
    <w:rsid w:val="00E24C60"/>
    <w:rsid w:val="00E24ECE"/>
    <w:rsid w:val="00E2513B"/>
    <w:rsid w:val="00E25948"/>
    <w:rsid w:val="00E25DFC"/>
    <w:rsid w:val="00E26177"/>
    <w:rsid w:val="00E264ED"/>
    <w:rsid w:val="00E26548"/>
    <w:rsid w:val="00E265E1"/>
    <w:rsid w:val="00E26749"/>
    <w:rsid w:val="00E2756E"/>
    <w:rsid w:val="00E2760A"/>
    <w:rsid w:val="00E27DE0"/>
    <w:rsid w:val="00E27EFD"/>
    <w:rsid w:val="00E305FC"/>
    <w:rsid w:val="00E30F2C"/>
    <w:rsid w:val="00E312BE"/>
    <w:rsid w:val="00E316AC"/>
    <w:rsid w:val="00E31DA0"/>
    <w:rsid w:val="00E32044"/>
    <w:rsid w:val="00E32862"/>
    <w:rsid w:val="00E329C3"/>
    <w:rsid w:val="00E32D22"/>
    <w:rsid w:val="00E32EE6"/>
    <w:rsid w:val="00E33729"/>
    <w:rsid w:val="00E33AF3"/>
    <w:rsid w:val="00E34199"/>
    <w:rsid w:val="00E34675"/>
    <w:rsid w:val="00E34CB3"/>
    <w:rsid w:val="00E35877"/>
    <w:rsid w:val="00E36B01"/>
    <w:rsid w:val="00E377B0"/>
    <w:rsid w:val="00E37B88"/>
    <w:rsid w:val="00E4017F"/>
    <w:rsid w:val="00E40423"/>
    <w:rsid w:val="00E4053A"/>
    <w:rsid w:val="00E4060A"/>
    <w:rsid w:val="00E406B0"/>
    <w:rsid w:val="00E4107B"/>
    <w:rsid w:val="00E412C6"/>
    <w:rsid w:val="00E412E3"/>
    <w:rsid w:val="00E41603"/>
    <w:rsid w:val="00E42203"/>
    <w:rsid w:val="00E42617"/>
    <w:rsid w:val="00E429B2"/>
    <w:rsid w:val="00E439CB"/>
    <w:rsid w:val="00E43F91"/>
    <w:rsid w:val="00E444F3"/>
    <w:rsid w:val="00E44793"/>
    <w:rsid w:val="00E45119"/>
    <w:rsid w:val="00E45167"/>
    <w:rsid w:val="00E452BD"/>
    <w:rsid w:val="00E45929"/>
    <w:rsid w:val="00E45B3F"/>
    <w:rsid w:val="00E45E9E"/>
    <w:rsid w:val="00E45EDF"/>
    <w:rsid w:val="00E46217"/>
    <w:rsid w:val="00E4698C"/>
    <w:rsid w:val="00E46DA5"/>
    <w:rsid w:val="00E4740B"/>
    <w:rsid w:val="00E477FE"/>
    <w:rsid w:val="00E47922"/>
    <w:rsid w:val="00E50661"/>
    <w:rsid w:val="00E50876"/>
    <w:rsid w:val="00E50D04"/>
    <w:rsid w:val="00E50D66"/>
    <w:rsid w:val="00E5150A"/>
    <w:rsid w:val="00E51BFC"/>
    <w:rsid w:val="00E51C1B"/>
    <w:rsid w:val="00E51C9E"/>
    <w:rsid w:val="00E51F84"/>
    <w:rsid w:val="00E52B73"/>
    <w:rsid w:val="00E53241"/>
    <w:rsid w:val="00E5334B"/>
    <w:rsid w:val="00E5375C"/>
    <w:rsid w:val="00E54146"/>
    <w:rsid w:val="00E54470"/>
    <w:rsid w:val="00E547AB"/>
    <w:rsid w:val="00E557B4"/>
    <w:rsid w:val="00E56DE6"/>
    <w:rsid w:val="00E57FF0"/>
    <w:rsid w:val="00E60223"/>
    <w:rsid w:val="00E61865"/>
    <w:rsid w:val="00E61956"/>
    <w:rsid w:val="00E62058"/>
    <w:rsid w:val="00E6227D"/>
    <w:rsid w:val="00E6277F"/>
    <w:rsid w:val="00E629CA"/>
    <w:rsid w:val="00E633BC"/>
    <w:rsid w:val="00E637F4"/>
    <w:rsid w:val="00E63FBD"/>
    <w:rsid w:val="00E642C0"/>
    <w:rsid w:val="00E6481D"/>
    <w:rsid w:val="00E6520C"/>
    <w:rsid w:val="00E6570B"/>
    <w:rsid w:val="00E66486"/>
    <w:rsid w:val="00E669AF"/>
    <w:rsid w:val="00E678E0"/>
    <w:rsid w:val="00E70097"/>
    <w:rsid w:val="00E700BD"/>
    <w:rsid w:val="00E705C5"/>
    <w:rsid w:val="00E708D5"/>
    <w:rsid w:val="00E70B7A"/>
    <w:rsid w:val="00E70C7E"/>
    <w:rsid w:val="00E70EFB"/>
    <w:rsid w:val="00E71001"/>
    <w:rsid w:val="00E714A5"/>
    <w:rsid w:val="00E71C47"/>
    <w:rsid w:val="00E729A9"/>
    <w:rsid w:val="00E72BFA"/>
    <w:rsid w:val="00E731E0"/>
    <w:rsid w:val="00E74154"/>
    <w:rsid w:val="00E7469F"/>
    <w:rsid w:val="00E74B7B"/>
    <w:rsid w:val="00E752E0"/>
    <w:rsid w:val="00E75467"/>
    <w:rsid w:val="00E75573"/>
    <w:rsid w:val="00E7621E"/>
    <w:rsid w:val="00E7675C"/>
    <w:rsid w:val="00E76DD2"/>
    <w:rsid w:val="00E76F5A"/>
    <w:rsid w:val="00E770FA"/>
    <w:rsid w:val="00E77526"/>
    <w:rsid w:val="00E776F2"/>
    <w:rsid w:val="00E80148"/>
    <w:rsid w:val="00E80958"/>
    <w:rsid w:val="00E81123"/>
    <w:rsid w:val="00E81715"/>
    <w:rsid w:val="00E81877"/>
    <w:rsid w:val="00E82209"/>
    <w:rsid w:val="00E82C2C"/>
    <w:rsid w:val="00E82E4D"/>
    <w:rsid w:val="00E82F78"/>
    <w:rsid w:val="00E833BD"/>
    <w:rsid w:val="00E83ECD"/>
    <w:rsid w:val="00E83F32"/>
    <w:rsid w:val="00E844C4"/>
    <w:rsid w:val="00E84BD0"/>
    <w:rsid w:val="00E84D0D"/>
    <w:rsid w:val="00E8510F"/>
    <w:rsid w:val="00E85A4D"/>
    <w:rsid w:val="00E860D0"/>
    <w:rsid w:val="00E862AD"/>
    <w:rsid w:val="00E86389"/>
    <w:rsid w:val="00E86632"/>
    <w:rsid w:val="00E8698C"/>
    <w:rsid w:val="00E87425"/>
    <w:rsid w:val="00E87473"/>
    <w:rsid w:val="00E874B5"/>
    <w:rsid w:val="00E87720"/>
    <w:rsid w:val="00E87DBA"/>
    <w:rsid w:val="00E90C3F"/>
    <w:rsid w:val="00E90E0A"/>
    <w:rsid w:val="00E920F5"/>
    <w:rsid w:val="00E92589"/>
    <w:rsid w:val="00E930A5"/>
    <w:rsid w:val="00E9370E"/>
    <w:rsid w:val="00E9525E"/>
    <w:rsid w:val="00E9594E"/>
    <w:rsid w:val="00E95C82"/>
    <w:rsid w:val="00E96E30"/>
    <w:rsid w:val="00EA0189"/>
    <w:rsid w:val="00EA03C3"/>
    <w:rsid w:val="00EA0915"/>
    <w:rsid w:val="00EA0C39"/>
    <w:rsid w:val="00EA1468"/>
    <w:rsid w:val="00EA1C68"/>
    <w:rsid w:val="00EA1E54"/>
    <w:rsid w:val="00EA3140"/>
    <w:rsid w:val="00EA3D01"/>
    <w:rsid w:val="00EA4B0A"/>
    <w:rsid w:val="00EA54D6"/>
    <w:rsid w:val="00EA5F02"/>
    <w:rsid w:val="00EA5FFE"/>
    <w:rsid w:val="00EA631A"/>
    <w:rsid w:val="00EA631D"/>
    <w:rsid w:val="00EA68CC"/>
    <w:rsid w:val="00EA6900"/>
    <w:rsid w:val="00EA7C28"/>
    <w:rsid w:val="00EB119A"/>
    <w:rsid w:val="00EB12BE"/>
    <w:rsid w:val="00EB14AF"/>
    <w:rsid w:val="00EB1549"/>
    <w:rsid w:val="00EB242A"/>
    <w:rsid w:val="00EB26AA"/>
    <w:rsid w:val="00EB28A1"/>
    <w:rsid w:val="00EB2C65"/>
    <w:rsid w:val="00EB30BF"/>
    <w:rsid w:val="00EB35E8"/>
    <w:rsid w:val="00EB36EF"/>
    <w:rsid w:val="00EB3984"/>
    <w:rsid w:val="00EB405F"/>
    <w:rsid w:val="00EB44D2"/>
    <w:rsid w:val="00EB4503"/>
    <w:rsid w:val="00EB4512"/>
    <w:rsid w:val="00EB45A5"/>
    <w:rsid w:val="00EB49D6"/>
    <w:rsid w:val="00EB4E08"/>
    <w:rsid w:val="00EB522C"/>
    <w:rsid w:val="00EB5403"/>
    <w:rsid w:val="00EB5570"/>
    <w:rsid w:val="00EB6800"/>
    <w:rsid w:val="00EB6AED"/>
    <w:rsid w:val="00EC0151"/>
    <w:rsid w:val="00EC069F"/>
    <w:rsid w:val="00EC06A1"/>
    <w:rsid w:val="00EC0A52"/>
    <w:rsid w:val="00EC0BBB"/>
    <w:rsid w:val="00EC0C52"/>
    <w:rsid w:val="00EC14B0"/>
    <w:rsid w:val="00EC1506"/>
    <w:rsid w:val="00EC17B6"/>
    <w:rsid w:val="00EC1B30"/>
    <w:rsid w:val="00EC294A"/>
    <w:rsid w:val="00EC4378"/>
    <w:rsid w:val="00EC4473"/>
    <w:rsid w:val="00EC4783"/>
    <w:rsid w:val="00EC4F33"/>
    <w:rsid w:val="00EC5167"/>
    <w:rsid w:val="00EC5C57"/>
    <w:rsid w:val="00EC5DE8"/>
    <w:rsid w:val="00EC691C"/>
    <w:rsid w:val="00EC69EB"/>
    <w:rsid w:val="00EC7482"/>
    <w:rsid w:val="00EC792B"/>
    <w:rsid w:val="00EC7A42"/>
    <w:rsid w:val="00EC7B18"/>
    <w:rsid w:val="00ED0702"/>
    <w:rsid w:val="00ED0B65"/>
    <w:rsid w:val="00ED15A4"/>
    <w:rsid w:val="00ED1B9B"/>
    <w:rsid w:val="00ED2EC0"/>
    <w:rsid w:val="00ED3EF6"/>
    <w:rsid w:val="00ED4278"/>
    <w:rsid w:val="00ED5BC6"/>
    <w:rsid w:val="00ED5F99"/>
    <w:rsid w:val="00ED6683"/>
    <w:rsid w:val="00ED6770"/>
    <w:rsid w:val="00ED78A9"/>
    <w:rsid w:val="00EE06A2"/>
    <w:rsid w:val="00EE06C7"/>
    <w:rsid w:val="00EE09BC"/>
    <w:rsid w:val="00EE0E6F"/>
    <w:rsid w:val="00EE3250"/>
    <w:rsid w:val="00EE35EF"/>
    <w:rsid w:val="00EE375E"/>
    <w:rsid w:val="00EE37F4"/>
    <w:rsid w:val="00EE403A"/>
    <w:rsid w:val="00EE485B"/>
    <w:rsid w:val="00EE490C"/>
    <w:rsid w:val="00EE5357"/>
    <w:rsid w:val="00EE55D6"/>
    <w:rsid w:val="00EE55F5"/>
    <w:rsid w:val="00EE59CA"/>
    <w:rsid w:val="00EE5B1E"/>
    <w:rsid w:val="00EE6492"/>
    <w:rsid w:val="00EE6674"/>
    <w:rsid w:val="00EE7791"/>
    <w:rsid w:val="00EF0014"/>
    <w:rsid w:val="00EF078B"/>
    <w:rsid w:val="00EF0939"/>
    <w:rsid w:val="00EF1154"/>
    <w:rsid w:val="00EF1255"/>
    <w:rsid w:val="00EF1504"/>
    <w:rsid w:val="00EF1648"/>
    <w:rsid w:val="00EF1E1D"/>
    <w:rsid w:val="00EF1E98"/>
    <w:rsid w:val="00EF20BE"/>
    <w:rsid w:val="00EF21B5"/>
    <w:rsid w:val="00EF21BD"/>
    <w:rsid w:val="00EF2285"/>
    <w:rsid w:val="00EF2B62"/>
    <w:rsid w:val="00EF32A5"/>
    <w:rsid w:val="00EF32AF"/>
    <w:rsid w:val="00EF3531"/>
    <w:rsid w:val="00EF3C72"/>
    <w:rsid w:val="00EF4074"/>
    <w:rsid w:val="00EF4487"/>
    <w:rsid w:val="00EF45C5"/>
    <w:rsid w:val="00EF5402"/>
    <w:rsid w:val="00EF6594"/>
    <w:rsid w:val="00EF6ADB"/>
    <w:rsid w:val="00EF70ED"/>
    <w:rsid w:val="00EF722E"/>
    <w:rsid w:val="00EF7498"/>
    <w:rsid w:val="00EF759A"/>
    <w:rsid w:val="00EF7831"/>
    <w:rsid w:val="00EF7AB2"/>
    <w:rsid w:val="00EF7ADC"/>
    <w:rsid w:val="00EF7CDA"/>
    <w:rsid w:val="00EF7D2B"/>
    <w:rsid w:val="00EF7FAF"/>
    <w:rsid w:val="00F00465"/>
    <w:rsid w:val="00F005DC"/>
    <w:rsid w:val="00F00688"/>
    <w:rsid w:val="00F008A8"/>
    <w:rsid w:val="00F00B03"/>
    <w:rsid w:val="00F00D9A"/>
    <w:rsid w:val="00F012CF"/>
    <w:rsid w:val="00F0165B"/>
    <w:rsid w:val="00F02381"/>
    <w:rsid w:val="00F023C7"/>
    <w:rsid w:val="00F025EF"/>
    <w:rsid w:val="00F02A20"/>
    <w:rsid w:val="00F02B34"/>
    <w:rsid w:val="00F02BB7"/>
    <w:rsid w:val="00F02D55"/>
    <w:rsid w:val="00F02E25"/>
    <w:rsid w:val="00F02E63"/>
    <w:rsid w:val="00F04243"/>
    <w:rsid w:val="00F04FA7"/>
    <w:rsid w:val="00F0563A"/>
    <w:rsid w:val="00F0577A"/>
    <w:rsid w:val="00F05948"/>
    <w:rsid w:val="00F06057"/>
    <w:rsid w:val="00F06B5C"/>
    <w:rsid w:val="00F06D2E"/>
    <w:rsid w:val="00F06F4C"/>
    <w:rsid w:val="00F07387"/>
    <w:rsid w:val="00F100B1"/>
    <w:rsid w:val="00F10892"/>
    <w:rsid w:val="00F10D1C"/>
    <w:rsid w:val="00F10DD4"/>
    <w:rsid w:val="00F11715"/>
    <w:rsid w:val="00F1248A"/>
    <w:rsid w:val="00F12612"/>
    <w:rsid w:val="00F127ED"/>
    <w:rsid w:val="00F132C5"/>
    <w:rsid w:val="00F13330"/>
    <w:rsid w:val="00F1354C"/>
    <w:rsid w:val="00F13AF6"/>
    <w:rsid w:val="00F145F8"/>
    <w:rsid w:val="00F14E3A"/>
    <w:rsid w:val="00F15D90"/>
    <w:rsid w:val="00F15F6B"/>
    <w:rsid w:val="00F167A1"/>
    <w:rsid w:val="00F16D37"/>
    <w:rsid w:val="00F17A61"/>
    <w:rsid w:val="00F17B8E"/>
    <w:rsid w:val="00F17CF4"/>
    <w:rsid w:val="00F2075E"/>
    <w:rsid w:val="00F20EAF"/>
    <w:rsid w:val="00F2120B"/>
    <w:rsid w:val="00F213DB"/>
    <w:rsid w:val="00F216B7"/>
    <w:rsid w:val="00F21715"/>
    <w:rsid w:val="00F22611"/>
    <w:rsid w:val="00F2262C"/>
    <w:rsid w:val="00F228B2"/>
    <w:rsid w:val="00F22902"/>
    <w:rsid w:val="00F22AF8"/>
    <w:rsid w:val="00F22D62"/>
    <w:rsid w:val="00F22E9E"/>
    <w:rsid w:val="00F23B53"/>
    <w:rsid w:val="00F23D76"/>
    <w:rsid w:val="00F241BA"/>
    <w:rsid w:val="00F24612"/>
    <w:rsid w:val="00F24F85"/>
    <w:rsid w:val="00F25B19"/>
    <w:rsid w:val="00F25B35"/>
    <w:rsid w:val="00F25E38"/>
    <w:rsid w:val="00F2601A"/>
    <w:rsid w:val="00F30039"/>
    <w:rsid w:val="00F3027D"/>
    <w:rsid w:val="00F30F9E"/>
    <w:rsid w:val="00F318F2"/>
    <w:rsid w:val="00F32340"/>
    <w:rsid w:val="00F32FFB"/>
    <w:rsid w:val="00F33E3B"/>
    <w:rsid w:val="00F34470"/>
    <w:rsid w:val="00F35439"/>
    <w:rsid w:val="00F3555F"/>
    <w:rsid w:val="00F360DC"/>
    <w:rsid w:val="00F36181"/>
    <w:rsid w:val="00F3691D"/>
    <w:rsid w:val="00F36E9E"/>
    <w:rsid w:val="00F37274"/>
    <w:rsid w:val="00F375E3"/>
    <w:rsid w:val="00F37AAF"/>
    <w:rsid w:val="00F37CC9"/>
    <w:rsid w:val="00F37DDE"/>
    <w:rsid w:val="00F37E40"/>
    <w:rsid w:val="00F409B6"/>
    <w:rsid w:val="00F409EB"/>
    <w:rsid w:val="00F409FA"/>
    <w:rsid w:val="00F40B3A"/>
    <w:rsid w:val="00F40C51"/>
    <w:rsid w:val="00F4106A"/>
    <w:rsid w:val="00F41475"/>
    <w:rsid w:val="00F41A73"/>
    <w:rsid w:val="00F42194"/>
    <w:rsid w:val="00F422D1"/>
    <w:rsid w:val="00F42398"/>
    <w:rsid w:val="00F42DAA"/>
    <w:rsid w:val="00F437AC"/>
    <w:rsid w:val="00F43820"/>
    <w:rsid w:val="00F43FD1"/>
    <w:rsid w:val="00F44201"/>
    <w:rsid w:val="00F443A9"/>
    <w:rsid w:val="00F446FD"/>
    <w:rsid w:val="00F45E3C"/>
    <w:rsid w:val="00F464D0"/>
    <w:rsid w:val="00F46765"/>
    <w:rsid w:val="00F46773"/>
    <w:rsid w:val="00F46E33"/>
    <w:rsid w:val="00F476CE"/>
    <w:rsid w:val="00F47802"/>
    <w:rsid w:val="00F47A1C"/>
    <w:rsid w:val="00F47B4C"/>
    <w:rsid w:val="00F50207"/>
    <w:rsid w:val="00F50267"/>
    <w:rsid w:val="00F502C7"/>
    <w:rsid w:val="00F50453"/>
    <w:rsid w:val="00F509DD"/>
    <w:rsid w:val="00F50D37"/>
    <w:rsid w:val="00F51215"/>
    <w:rsid w:val="00F5175C"/>
    <w:rsid w:val="00F519EC"/>
    <w:rsid w:val="00F51E80"/>
    <w:rsid w:val="00F523D4"/>
    <w:rsid w:val="00F52AB0"/>
    <w:rsid w:val="00F52F6A"/>
    <w:rsid w:val="00F5333F"/>
    <w:rsid w:val="00F53431"/>
    <w:rsid w:val="00F53726"/>
    <w:rsid w:val="00F53B18"/>
    <w:rsid w:val="00F53B41"/>
    <w:rsid w:val="00F53E3E"/>
    <w:rsid w:val="00F546E6"/>
    <w:rsid w:val="00F54DF6"/>
    <w:rsid w:val="00F55113"/>
    <w:rsid w:val="00F55267"/>
    <w:rsid w:val="00F552F8"/>
    <w:rsid w:val="00F55853"/>
    <w:rsid w:val="00F56163"/>
    <w:rsid w:val="00F567CB"/>
    <w:rsid w:val="00F569E7"/>
    <w:rsid w:val="00F60099"/>
    <w:rsid w:val="00F60404"/>
    <w:rsid w:val="00F6053F"/>
    <w:rsid w:val="00F60560"/>
    <w:rsid w:val="00F6071C"/>
    <w:rsid w:val="00F60AE7"/>
    <w:rsid w:val="00F611D8"/>
    <w:rsid w:val="00F614A8"/>
    <w:rsid w:val="00F61F95"/>
    <w:rsid w:val="00F62E1F"/>
    <w:rsid w:val="00F62E74"/>
    <w:rsid w:val="00F6377C"/>
    <w:rsid w:val="00F640D3"/>
    <w:rsid w:val="00F64BFF"/>
    <w:rsid w:val="00F657A4"/>
    <w:rsid w:val="00F66DCE"/>
    <w:rsid w:val="00F7042F"/>
    <w:rsid w:val="00F704B9"/>
    <w:rsid w:val="00F706FC"/>
    <w:rsid w:val="00F71C8C"/>
    <w:rsid w:val="00F72072"/>
    <w:rsid w:val="00F72344"/>
    <w:rsid w:val="00F72911"/>
    <w:rsid w:val="00F73326"/>
    <w:rsid w:val="00F73424"/>
    <w:rsid w:val="00F73A88"/>
    <w:rsid w:val="00F73CAB"/>
    <w:rsid w:val="00F74184"/>
    <w:rsid w:val="00F74820"/>
    <w:rsid w:val="00F74905"/>
    <w:rsid w:val="00F74C25"/>
    <w:rsid w:val="00F758F7"/>
    <w:rsid w:val="00F75A8F"/>
    <w:rsid w:val="00F75EE2"/>
    <w:rsid w:val="00F76AF4"/>
    <w:rsid w:val="00F76DF7"/>
    <w:rsid w:val="00F76E31"/>
    <w:rsid w:val="00F76FFA"/>
    <w:rsid w:val="00F774C9"/>
    <w:rsid w:val="00F77657"/>
    <w:rsid w:val="00F77A4C"/>
    <w:rsid w:val="00F77D49"/>
    <w:rsid w:val="00F77F7E"/>
    <w:rsid w:val="00F8035D"/>
    <w:rsid w:val="00F81584"/>
    <w:rsid w:val="00F819F3"/>
    <w:rsid w:val="00F81B31"/>
    <w:rsid w:val="00F820D3"/>
    <w:rsid w:val="00F82165"/>
    <w:rsid w:val="00F8230B"/>
    <w:rsid w:val="00F82F01"/>
    <w:rsid w:val="00F834F2"/>
    <w:rsid w:val="00F839CC"/>
    <w:rsid w:val="00F843AC"/>
    <w:rsid w:val="00F84881"/>
    <w:rsid w:val="00F84B53"/>
    <w:rsid w:val="00F84D62"/>
    <w:rsid w:val="00F84DBD"/>
    <w:rsid w:val="00F851A4"/>
    <w:rsid w:val="00F85EDB"/>
    <w:rsid w:val="00F8612B"/>
    <w:rsid w:val="00F86AEF"/>
    <w:rsid w:val="00F86D34"/>
    <w:rsid w:val="00F86D89"/>
    <w:rsid w:val="00F86E58"/>
    <w:rsid w:val="00F86F53"/>
    <w:rsid w:val="00F911EC"/>
    <w:rsid w:val="00F91325"/>
    <w:rsid w:val="00F91FD7"/>
    <w:rsid w:val="00F925C6"/>
    <w:rsid w:val="00F92768"/>
    <w:rsid w:val="00F929F4"/>
    <w:rsid w:val="00F92C00"/>
    <w:rsid w:val="00F9325C"/>
    <w:rsid w:val="00F93554"/>
    <w:rsid w:val="00F93802"/>
    <w:rsid w:val="00F93B53"/>
    <w:rsid w:val="00F93F3A"/>
    <w:rsid w:val="00F94331"/>
    <w:rsid w:val="00F94871"/>
    <w:rsid w:val="00F94A75"/>
    <w:rsid w:val="00F94C7C"/>
    <w:rsid w:val="00F94F84"/>
    <w:rsid w:val="00F95428"/>
    <w:rsid w:val="00F95E1C"/>
    <w:rsid w:val="00F96546"/>
    <w:rsid w:val="00F965A0"/>
    <w:rsid w:val="00F968EA"/>
    <w:rsid w:val="00F969CD"/>
    <w:rsid w:val="00F96BCE"/>
    <w:rsid w:val="00F97497"/>
    <w:rsid w:val="00F9768C"/>
    <w:rsid w:val="00F97AF7"/>
    <w:rsid w:val="00F97C74"/>
    <w:rsid w:val="00FA0418"/>
    <w:rsid w:val="00FA082E"/>
    <w:rsid w:val="00FA175F"/>
    <w:rsid w:val="00FA202D"/>
    <w:rsid w:val="00FA3F07"/>
    <w:rsid w:val="00FA4241"/>
    <w:rsid w:val="00FA4688"/>
    <w:rsid w:val="00FA5CB8"/>
    <w:rsid w:val="00FA669D"/>
    <w:rsid w:val="00FA66B5"/>
    <w:rsid w:val="00FA66F8"/>
    <w:rsid w:val="00FA6ACA"/>
    <w:rsid w:val="00FA7669"/>
    <w:rsid w:val="00FA78DA"/>
    <w:rsid w:val="00FA7C4C"/>
    <w:rsid w:val="00FB07F3"/>
    <w:rsid w:val="00FB0BA4"/>
    <w:rsid w:val="00FB125E"/>
    <w:rsid w:val="00FB1BA1"/>
    <w:rsid w:val="00FB1C46"/>
    <w:rsid w:val="00FB2547"/>
    <w:rsid w:val="00FB2B73"/>
    <w:rsid w:val="00FB2FCC"/>
    <w:rsid w:val="00FB315C"/>
    <w:rsid w:val="00FB3460"/>
    <w:rsid w:val="00FB3554"/>
    <w:rsid w:val="00FB379E"/>
    <w:rsid w:val="00FB4A1F"/>
    <w:rsid w:val="00FB4A5D"/>
    <w:rsid w:val="00FB4AAA"/>
    <w:rsid w:val="00FB4AE5"/>
    <w:rsid w:val="00FB4B61"/>
    <w:rsid w:val="00FB4C24"/>
    <w:rsid w:val="00FB5086"/>
    <w:rsid w:val="00FB5D09"/>
    <w:rsid w:val="00FB5E6F"/>
    <w:rsid w:val="00FB6280"/>
    <w:rsid w:val="00FB6319"/>
    <w:rsid w:val="00FB681B"/>
    <w:rsid w:val="00FB6D44"/>
    <w:rsid w:val="00FB6DCF"/>
    <w:rsid w:val="00FB6FF2"/>
    <w:rsid w:val="00FB785F"/>
    <w:rsid w:val="00FC026B"/>
    <w:rsid w:val="00FC04AA"/>
    <w:rsid w:val="00FC14F0"/>
    <w:rsid w:val="00FC1817"/>
    <w:rsid w:val="00FC1E9C"/>
    <w:rsid w:val="00FC2A01"/>
    <w:rsid w:val="00FC2C7B"/>
    <w:rsid w:val="00FC2EBC"/>
    <w:rsid w:val="00FC3625"/>
    <w:rsid w:val="00FC3EA6"/>
    <w:rsid w:val="00FC41BC"/>
    <w:rsid w:val="00FC451A"/>
    <w:rsid w:val="00FC4869"/>
    <w:rsid w:val="00FC6180"/>
    <w:rsid w:val="00FC63B8"/>
    <w:rsid w:val="00FC669A"/>
    <w:rsid w:val="00FC6AE5"/>
    <w:rsid w:val="00FC7FA5"/>
    <w:rsid w:val="00FD034F"/>
    <w:rsid w:val="00FD039B"/>
    <w:rsid w:val="00FD1138"/>
    <w:rsid w:val="00FD166F"/>
    <w:rsid w:val="00FD1B4D"/>
    <w:rsid w:val="00FD1F3E"/>
    <w:rsid w:val="00FD2BCD"/>
    <w:rsid w:val="00FD32D8"/>
    <w:rsid w:val="00FD3CAD"/>
    <w:rsid w:val="00FD4451"/>
    <w:rsid w:val="00FD4D46"/>
    <w:rsid w:val="00FD4EEF"/>
    <w:rsid w:val="00FD5397"/>
    <w:rsid w:val="00FD5A5E"/>
    <w:rsid w:val="00FD602C"/>
    <w:rsid w:val="00FD70FC"/>
    <w:rsid w:val="00FD755C"/>
    <w:rsid w:val="00FE0A7F"/>
    <w:rsid w:val="00FE0B4B"/>
    <w:rsid w:val="00FE1183"/>
    <w:rsid w:val="00FE134E"/>
    <w:rsid w:val="00FE1BB9"/>
    <w:rsid w:val="00FE23B3"/>
    <w:rsid w:val="00FE2596"/>
    <w:rsid w:val="00FE2BBB"/>
    <w:rsid w:val="00FE2E98"/>
    <w:rsid w:val="00FE2F1D"/>
    <w:rsid w:val="00FE3469"/>
    <w:rsid w:val="00FE358F"/>
    <w:rsid w:val="00FE3B6D"/>
    <w:rsid w:val="00FE3BB4"/>
    <w:rsid w:val="00FE3C81"/>
    <w:rsid w:val="00FE3F11"/>
    <w:rsid w:val="00FE40FF"/>
    <w:rsid w:val="00FE450B"/>
    <w:rsid w:val="00FE51D8"/>
    <w:rsid w:val="00FE6E2F"/>
    <w:rsid w:val="00FE7302"/>
    <w:rsid w:val="00FE7CFD"/>
    <w:rsid w:val="00FE7FD6"/>
    <w:rsid w:val="00FF0399"/>
    <w:rsid w:val="00FF08C9"/>
    <w:rsid w:val="00FF0CAC"/>
    <w:rsid w:val="00FF15F2"/>
    <w:rsid w:val="00FF1864"/>
    <w:rsid w:val="00FF1A6E"/>
    <w:rsid w:val="00FF1B34"/>
    <w:rsid w:val="00FF31C3"/>
    <w:rsid w:val="00FF34F8"/>
    <w:rsid w:val="00FF353E"/>
    <w:rsid w:val="00FF3D67"/>
    <w:rsid w:val="00FF4143"/>
    <w:rsid w:val="00FF56E2"/>
    <w:rsid w:val="00FF5C66"/>
    <w:rsid w:val="00FF5D6B"/>
    <w:rsid w:val="00FF5DF8"/>
    <w:rsid w:val="00FF6589"/>
    <w:rsid w:val="00FF6744"/>
    <w:rsid w:val="00FF6F5A"/>
    <w:rsid w:val="00FF74BD"/>
    <w:rsid w:val="00FF7C2E"/>
    <w:rsid w:val="00FF7F4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963">
      <v:fill color="#963"/>
      <v:stroke weight=".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Normal Table" w:semiHidden="0" w:unhideWhenUsed="0"/>
    <w:lsdException w:name="annotation subject" w:uiPriority="99"/>
    <w:lsdException w:name="No List" w:uiPriority="99"/>
    <w:lsdException w:name="Table Subtle 2" w:semiHidden="0" w:unhideWhenUsed="0"/>
    <w:lsdException w:name="Table Web 3" w:semiHidden="0" w:unhideWhenUsed="0"/>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62F3"/>
    <w:pPr>
      <w:jc w:val="both"/>
    </w:pPr>
    <w:rPr>
      <w:rFonts w:ascii="Arial Narrow" w:hAnsi="Arial Narrow"/>
      <w:sz w:val="22"/>
      <w:szCs w:val="24"/>
    </w:rPr>
  </w:style>
  <w:style w:type="paragraph" w:styleId="Ttulo1">
    <w:name w:val="heading 1"/>
    <w:basedOn w:val="Normal"/>
    <w:next w:val="Normal"/>
    <w:link w:val="Ttulo1Car"/>
    <w:autoRedefine/>
    <w:uiPriority w:val="9"/>
    <w:qFormat/>
    <w:rsid w:val="0020109F"/>
    <w:pPr>
      <w:keepNext/>
      <w:spacing w:before="240" w:after="240"/>
      <w:outlineLvl w:val="0"/>
    </w:pPr>
    <w:rPr>
      <w:b/>
      <w:bCs/>
      <w:caps/>
      <w:kern w:val="32"/>
      <w:szCs w:val="32"/>
      <w:lang w:val="es-CO"/>
    </w:rPr>
  </w:style>
  <w:style w:type="paragraph" w:styleId="Ttulo2">
    <w:name w:val="heading 2"/>
    <w:basedOn w:val="Normal"/>
    <w:next w:val="Normal"/>
    <w:link w:val="Ttulo2Car"/>
    <w:autoRedefine/>
    <w:uiPriority w:val="99"/>
    <w:qFormat/>
    <w:rsid w:val="004062F3"/>
    <w:pPr>
      <w:keepNext/>
      <w:spacing w:before="120" w:after="120"/>
      <w:outlineLvl w:val="1"/>
    </w:pPr>
    <w:rPr>
      <w:bCs/>
      <w:caps/>
    </w:rPr>
  </w:style>
  <w:style w:type="paragraph" w:styleId="Ttulo3">
    <w:name w:val="heading 3"/>
    <w:basedOn w:val="Normal"/>
    <w:next w:val="Normal"/>
    <w:link w:val="Ttulo3Car"/>
    <w:autoRedefine/>
    <w:uiPriority w:val="99"/>
    <w:qFormat/>
    <w:rsid w:val="0020109F"/>
    <w:pPr>
      <w:keepNext/>
      <w:outlineLvl w:val="2"/>
    </w:pPr>
    <w:rPr>
      <w:b/>
    </w:rPr>
  </w:style>
  <w:style w:type="paragraph" w:styleId="Ttulo4">
    <w:name w:val="heading 4"/>
    <w:basedOn w:val="Normal"/>
    <w:next w:val="Normal"/>
    <w:link w:val="Ttulo4Car"/>
    <w:uiPriority w:val="99"/>
    <w:qFormat/>
    <w:rsid w:val="00325418"/>
    <w:pPr>
      <w:keepNext/>
      <w:jc w:val="center"/>
      <w:outlineLvl w:val="3"/>
    </w:pPr>
    <w:rPr>
      <w:rFonts w:ascii="Book Antiqua" w:hAnsi="Book Antiqua"/>
      <w:b/>
      <w:sz w:val="20"/>
    </w:rPr>
  </w:style>
  <w:style w:type="paragraph" w:styleId="Ttulo5">
    <w:name w:val="heading 5"/>
    <w:basedOn w:val="Normal"/>
    <w:next w:val="Normal"/>
    <w:link w:val="Ttulo5Car"/>
    <w:uiPriority w:val="99"/>
    <w:qFormat/>
    <w:rsid w:val="00504E8D"/>
    <w:pPr>
      <w:tabs>
        <w:tab w:val="num" w:pos="1008"/>
      </w:tabs>
      <w:spacing w:before="240" w:after="60"/>
      <w:ind w:left="1008" w:hanging="1008"/>
      <w:outlineLvl w:val="4"/>
    </w:pPr>
    <w:rPr>
      <w:szCs w:val="20"/>
      <w:lang w:val="es-ES_tradnl"/>
    </w:rPr>
  </w:style>
  <w:style w:type="paragraph" w:styleId="Ttulo6">
    <w:name w:val="heading 6"/>
    <w:basedOn w:val="Normal"/>
    <w:next w:val="Normal"/>
    <w:link w:val="Ttulo6Car"/>
    <w:uiPriority w:val="9"/>
    <w:qFormat/>
    <w:rsid w:val="00504E8D"/>
    <w:pPr>
      <w:tabs>
        <w:tab w:val="num" w:pos="1152"/>
      </w:tabs>
      <w:spacing w:before="240" w:after="60"/>
      <w:ind w:left="1152" w:hanging="1152"/>
      <w:outlineLvl w:val="5"/>
    </w:pPr>
    <w:rPr>
      <w:i/>
      <w:szCs w:val="20"/>
      <w:lang w:val="es-ES_tradnl"/>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20109F"/>
    <w:rPr>
      <w:rFonts w:ascii="Arial Narrow" w:hAnsi="Arial Narrow"/>
      <w:b/>
      <w:bCs/>
      <w:caps/>
      <w:kern w:val="32"/>
      <w:sz w:val="22"/>
      <w:szCs w:val="32"/>
      <w:lang w:val="es-CO"/>
    </w:rPr>
  </w:style>
  <w:style w:type="character" w:customStyle="1" w:styleId="Ttulo2Car">
    <w:name w:val="Título 2 Car"/>
    <w:link w:val="Ttulo2"/>
    <w:uiPriority w:val="99"/>
    <w:locked/>
    <w:rsid w:val="004062F3"/>
    <w:rPr>
      <w:rFonts w:ascii="Arial Narrow" w:hAnsi="Arial Narrow"/>
      <w:bCs/>
      <w:caps/>
      <w:sz w:val="22"/>
      <w:szCs w:val="24"/>
    </w:rPr>
  </w:style>
  <w:style w:type="character" w:customStyle="1" w:styleId="Ttulo3Car">
    <w:name w:val="Título 3 Car"/>
    <w:link w:val="Ttulo3"/>
    <w:uiPriority w:val="99"/>
    <w:locked/>
    <w:rsid w:val="0020109F"/>
    <w:rPr>
      <w:rFonts w:ascii="Arial Narrow" w:hAnsi="Arial Narrow"/>
      <w:b/>
      <w:sz w:val="22"/>
      <w:szCs w:val="24"/>
    </w:rPr>
  </w:style>
  <w:style w:type="character" w:customStyle="1" w:styleId="Ttulo4Car">
    <w:name w:val="Título 4 Car"/>
    <w:link w:val="Ttulo4"/>
    <w:uiPriority w:val="99"/>
    <w:locked/>
    <w:rsid w:val="00504E8D"/>
    <w:rPr>
      <w:rFonts w:ascii="Book Antiqua" w:hAnsi="Book Antiqua" w:cs="Times New Roman"/>
      <w:b/>
      <w:sz w:val="24"/>
      <w:szCs w:val="24"/>
    </w:rPr>
  </w:style>
  <w:style w:type="character" w:customStyle="1" w:styleId="Ttulo5Car">
    <w:name w:val="Título 5 Car"/>
    <w:link w:val="Ttulo5"/>
    <w:uiPriority w:val="99"/>
    <w:locked/>
    <w:rsid w:val="00504E8D"/>
    <w:rPr>
      <w:rFonts w:cs="Times New Roman"/>
      <w:sz w:val="22"/>
      <w:lang w:val="es-ES_tradnl" w:eastAsia="x-none"/>
    </w:rPr>
  </w:style>
  <w:style w:type="character" w:customStyle="1" w:styleId="Ttulo6Car">
    <w:name w:val="Título 6 Car"/>
    <w:link w:val="Ttulo6"/>
    <w:uiPriority w:val="9"/>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Car,Caption Table,Caption Table1,Caption Table1a,Epígrafe Car Car,Map,AGT ESIA,Tabla"/>
    <w:basedOn w:val="Normal"/>
    <w:link w:val="TextoindependienteCar"/>
    <w:rsid w:val="00521BF8"/>
    <w:pPr>
      <w:widowControl w:val="0"/>
      <w:tabs>
        <w:tab w:val="left" w:pos="-720"/>
      </w:tabs>
      <w:suppressAutoHyphens/>
    </w:pPr>
    <w:rPr>
      <w:rFonts w:ascii="Arial" w:hAnsi="Arial"/>
      <w:spacing w:val="-3"/>
      <w:szCs w:val="20"/>
    </w:rPr>
  </w:style>
  <w:style w:type="character" w:customStyle="1" w:styleId="TextoindependienteCar">
    <w:name w:val="Texto independiente Car"/>
    <w:aliases w:val="Car Car,Caption Table Car,Caption Table1 Car,Caption Table1a Car,Epígrafe Car Car Car,Map Car,AGT ESIA Car,Tabla Car"/>
    <w:link w:val="Textoindependiente"/>
    <w:locked/>
    <w:rsid w:val="0004034A"/>
    <w:rPr>
      <w:rFonts w:ascii="Arial" w:hAnsi="Arial" w:cs="Times New Roman"/>
      <w:spacing w:val="-3"/>
      <w:sz w:val="24"/>
      <w:lang w:val="es-ES" w:eastAsia="es-ES" w:bidi="ar-SA"/>
    </w:rPr>
  </w:style>
  <w:style w:type="paragraph" w:styleId="Ttulo">
    <w:name w:val="Title"/>
    <w:basedOn w:val="Normal"/>
    <w:link w:val="TtuloCar"/>
    <w:qFormat/>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w:basedOn w:val="Normal"/>
    <w:link w:val="TextonotapieCar"/>
    <w:uiPriority w:val="99"/>
    <w:rsid w:val="001E3ACA"/>
    <w:rPr>
      <w:sz w:val="20"/>
      <w:szCs w:val="20"/>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link w:val="Textonotapie"/>
    <w:uiPriority w:val="99"/>
    <w:locked/>
    <w:rsid w:val="00125854"/>
    <w:rPr>
      <w:rFonts w:cs="Times New Roman"/>
    </w:rPr>
  </w:style>
  <w:style w:type="character" w:styleId="Refdenotaalpie">
    <w:name w:val="footnote reference"/>
    <w:aliases w:val="titulo 2"/>
    <w:uiPriority w:val="99"/>
    <w:rsid w:val="001E3ACA"/>
    <w:rPr>
      <w:rFonts w:cs="Times New Roman"/>
      <w:vertAlign w:val="superscript"/>
    </w:rPr>
  </w:style>
  <w:style w:type="paragraph" w:styleId="TDC1">
    <w:name w:val="toc 1"/>
    <w:basedOn w:val="Normal"/>
    <w:next w:val="Normal"/>
    <w:autoRedefine/>
    <w:uiPriority w:val="39"/>
    <w:qFormat/>
    <w:rsid w:val="001E3ACA"/>
    <w:pPr>
      <w:spacing w:before="120"/>
      <w:jc w:val="left"/>
    </w:pPr>
    <w:rPr>
      <w:rFonts w:asciiTheme="minorHAnsi" w:hAnsiTheme="minorHAnsi"/>
      <w:b/>
      <w:bCs/>
      <w:i/>
      <w:iCs/>
      <w:sz w:val="24"/>
    </w:rPr>
  </w:style>
  <w:style w:type="paragraph" w:styleId="Textoindependiente2">
    <w:name w:val="Body Text 2"/>
    <w:basedOn w:val="Normal"/>
    <w:link w:val="Textoindependiente2Car"/>
    <w:uiPriority w:val="99"/>
    <w:rsid w:val="00325418"/>
    <w:rPr>
      <w:rFonts w:ascii="Arial" w:hAnsi="Arial"/>
      <w:sz w:val="20"/>
      <w:szCs w:val="20"/>
      <w:lang w:val="es-ES_tradnl"/>
    </w:rPr>
  </w:style>
  <w:style w:type="character" w:customStyle="1" w:styleId="Textoindependiente2Car">
    <w:name w:val="Texto independiente 2 Car"/>
    <w:link w:val="Textoindependiente2"/>
    <w:uiPriority w:val="99"/>
    <w:locked/>
    <w:rsid w:val="00504E8D"/>
    <w:rPr>
      <w:rFonts w:ascii="Arial" w:hAnsi="Arial" w:cs="Times New Roman"/>
      <w:lang w:val="es-ES_tradnl" w:eastAsia="x-none"/>
    </w:rPr>
  </w:style>
  <w:style w:type="paragraph" w:styleId="Encabezado">
    <w:name w:val="header"/>
    <w:basedOn w:val="Normal"/>
    <w:link w:val="EncabezadoCar"/>
    <w:rsid w:val="00325418"/>
    <w:pPr>
      <w:tabs>
        <w:tab w:val="center" w:pos="4320"/>
        <w:tab w:val="right" w:pos="8640"/>
      </w:tabs>
    </w:pPr>
    <w:rPr>
      <w:lang w:val="en-US" w:eastAsia="en-US"/>
    </w:rPr>
  </w:style>
  <w:style w:type="character" w:customStyle="1" w:styleId="EncabezadoCar">
    <w:name w:val="Encabezado Car"/>
    <w:link w:val="Encabezado"/>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uiPriority w:val="99"/>
    <w:rsid w:val="00325418"/>
    <w:pPr>
      <w:tabs>
        <w:tab w:val="left" w:pos="252"/>
      </w:tabs>
      <w:ind w:left="360"/>
    </w:pPr>
    <w:rPr>
      <w:rFonts w:ascii="Book Antiqua" w:hAnsi="Book Antiqua"/>
      <w:lang w:eastAsia="en-US"/>
    </w:rPr>
  </w:style>
  <w:style w:type="character" w:customStyle="1" w:styleId="SangradetextonormalCar">
    <w:name w:val="Sangría de texto normal Car"/>
    <w:link w:val="Sangradetextonormal"/>
    <w:uiPriority w:val="99"/>
    <w:locked/>
    <w:rsid w:val="00504E8D"/>
    <w:rPr>
      <w:rFonts w:ascii="Book Antiqua" w:hAnsi="Book Antiqua" w:cs="Times New Roman"/>
      <w:sz w:val="24"/>
      <w:szCs w:val="24"/>
      <w:lang w:val="x-none" w:eastAsia="en-US"/>
    </w:rPr>
  </w:style>
  <w:style w:type="table" w:styleId="Tablaconcuadrcula">
    <w:name w:val="Table Grid"/>
    <w:basedOn w:val="Tablanormal"/>
    <w:uiPriority w:val="59"/>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567027"/>
    <w:rPr>
      <w:rFonts w:cs="Times New Roman"/>
      <w:i/>
      <w:iCs/>
    </w:rPr>
  </w:style>
  <w:style w:type="paragraph" w:styleId="Textoindependiente3">
    <w:name w:val="Body Text 3"/>
    <w:basedOn w:val="Normal"/>
    <w:link w:val="Textoindependiente3Car"/>
    <w:uiPriority w:val="99"/>
    <w:rsid w:val="00504E8D"/>
    <w:pPr>
      <w:spacing w:after="120"/>
    </w:pPr>
    <w:rPr>
      <w:sz w:val="16"/>
      <w:szCs w:val="16"/>
    </w:rPr>
  </w:style>
  <w:style w:type="character" w:customStyle="1" w:styleId="Textoindependiente3Car">
    <w:name w:val="Texto independiente 3 Car"/>
    <w:link w:val="Textoindependiente3"/>
    <w:uiPriority w:val="99"/>
    <w:locked/>
    <w:rsid w:val="00504E8D"/>
    <w:rPr>
      <w:rFonts w:cs="Times New Roman"/>
      <w:sz w:val="16"/>
      <w:szCs w:val="16"/>
    </w:rPr>
  </w:style>
  <w:style w:type="paragraph" w:styleId="Subttulo">
    <w:name w:val="Subtitle"/>
    <w:basedOn w:val="Normal"/>
    <w:link w:val="SubttuloCar"/>
    <w:qFormat/>
    <w:rsid w:val="00125854"/>
    <w:pPr>
      <w:widowControl w:val="0"/>
      <w:autoSpaceDE w:val="0"/>
      <w:autoSpaceDN w:val="0"/>
      <w:jc w:val="center"/>
    </w:pPr>
    <w:rPr>
      <w:rFonts w:ascii="Arial" w:hAnsi="Arial" w:cs="Arial"/>
      <w:b/>
      <w:bCs/>
      <w:sz w:val="18"/>
      <w:szCs w:val="18"/>
      <w:lang w:val="es-MX"/>
    </w:rPr>
  </w:style>
  <w:style w:type="character" w:customStyle="1" w:styleId="SubttuloCar">
    <w:name w:val="Subtítulo Car"/>
    <w:link w:val="Subttulo"/>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Epgrafe">
    <w:name w:val="caption"/>
    <w:basedOn w:val="Normal"/>
    <w:next w:val="Normal"/>
    <w:autoRedefine/>
    <w:qFormat/>
    <w:rsid w:val="004062F3"/>
    <w:pPr>
      <w:tabs>
        <w:tab w:val="left" w:pos="0"/>
      </w:tabs>
      <w:spacing w:before="120"/>
      <w:jc w:val="center"/>
    </w:pPr>
    <w:rPr>
      <w:rFonts w:cs="Tahoma"/>
      <w:bCs/>
      <w:sz w:val="18"/>
      <w:szCs w:val="20"/>
      <w:lang w:val="es-ES_tradnl" w:eastAsia="es-CO"/>
    </w:rPr>
  </w:style>
  <w:style w:type="character" w:styleId="Refdecomentario">
    <w:name w:val="annotation reference"/>
    <w:uiPriority w:val="99"/>
    <w:rsid w:val="00125854"/>
    <w:rPr>
      <w:rFonts w:cs="Times New Roman"/>
      <w:sz w:val="16"/>
      <w:szCs w:val="16"/>
    </w:rPr>
  </w:style>
  <w:style w:type="paragraph" w:styleId="Textocomentario">
    <w:name w:val="annotation text"/>
    <w:basedOn w:val="Normal"/>
    <w:link w:val="TextocomentarioCar"/>
    <w:uiPriority w:val="99"/>
    <w:rsid w:val="00125854"/>
    <w:rPr>
      <w:rFonts w:ascii="Tahoma" w:hAnsi="Tahoma" w:cs="Tahoma"/>
      <w:sz w:val="20"/>
      <w:szCs w:val="20"/>
    </w:rPr>
  </w:style>
  <w:style w:type="character" w:customStyle="1" w:styleId="TextocomentarioCar">
    <w:name w:val="Texto comentario Car"/>
    <w:link w:val="Textocomentario"/>
    <w:uiPriority w:val="99"/>
    <w:locked/>
    <w:rsid w:val="00125854"/>
    <w:rPr>
      <w:rFonts w:ascii="Tahoma" w:hAnsi="Tahoma" w:cs="Tahoma"/>
    </w:rPr>
  </w:style>
  <w:style w:type="paragraph" w:styleId="Textodeglobo">
    <w:name w:val="Balloon Text"/>
    <w:basedOn w:val="Normal"/>
    <w:link w:val="TextodegloboCar"/>
    <w:uiPriority w:val="99"/>
    <w:rsid w:val="00125854"/>
    <w:rPr>
      <w:rFonts w:ascii="Tahoma" w:hAnsi="Tahoma" w:cs="Tahoma"/>
      <w:sz w:val="16"/>
      <w:szCs w:val="16"/>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qFormat/>
    <w:rsid w:val="00125854"/>
    <w:pPr>
      <w:ind w:left="440"/>
      <w:jc w:val="left"/>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uiPriority w:val="39"/>
    <w:rsid w:val="00125854"/>
    <w:pPr>
      <w:ind w:left="880"/>
      <w:jc w:val="left"/>
    </w:pPr>
    <w:rPr>
      <w:rFonts w:asciiTheme="minorHAnsi" w:hAnsiTheme="minorHAnsi"/>
      <w:sz w:val="20"/>
      <w:szCs w:val="20"/>
    </w:rPr>
  </w:style>
  <w:style w:type="paragraph" w:styleId="TDC6">
    <w:name w:val="toc 6"/>
    <w:basedOn w:val="Normal"/>
    <w:next w:val="Normal"/>
    <w:autoRedefine/>
    <w:uiPriority w:val="39"/>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cs="Tahoma"/>
      <w:sz w:val="20"/>
      <w:szCs w:val="20"/>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uiPriority w:val="99"/>
    <w:rsid w:val="00125854"/>
    <w:rPr>
      <w:b/>
      <w:bCs/>
    </w:rPr>
  </w:style>
  <w:style w:type="character" w:customStyle="1" w:styleId="AsuntodelcomentarioCar">
    <w:name w:val="Asunto del comentario Car"/>
    <w:link w:val="Asuntodelcomentario"/>
    <w:uiPriority w:val="99"/>
    <w:locked/>
    <w:rsid w:val="00125854"/>
    <w:rPr>
      <w:rFonts w:ascii="Tahoma" w:hAnsi="Tahoma" w:cs="Tahoma"/>
      <w:b/>
      <w:bCs/>
    </w:rPr>
  </w:style>
  <w:style w:type="paragraph" w:styleId="TDC7">
    <w:name w:val="toc 7"/>
    <w:basedOn w:val="Normal"/>
    <w:next w:val="Normal"/>
    <w:autoRedefine/>
    <w:uiPriority w:val="39"/>
    <w:rsid w:val="00125854"/>
    <w:pPr>
      <w:ind w:left="1320"/>
      <w:jc w:val="left"/>
    </w:pPr>
    <w:rPr>
      <w:rFonts w:asciiTheme="minorHAnsi" w:hAnsiTheme="minorHAnsi"/>
      <w:sz w:val="20"/>
      <w:szCs w:val="20"/>
    </w:rPr>
  </w:style>
  <w:style w:type="paragraph" w:styleId="TDC8">
    <w:name w:val="toc 8"/>
    <w:basedOn w:val="Normal"/>
    <w:next w:val="Normal"/>
    <w:autoRedefine/>
    <w:uiPriority w:val="39"/>
    <w:rsid w:val="00125854"/>
    <w:pPr>
      <w:ind w:left="1540"/>
      <w:jc w:val="left"/>
    </w:pPr>
    <w:rPr>
      <w:rFonts w:asciiTheme="minorHAnsi" w:hAnsiTheme="minorHAnsi"/>
      <w:sz w:val="20"/>
      <w:szCs w:val="20"/>
    </w:rPr>
  </w:style>
  <w:style w:type="paragraph" w:styleId="TDC9">
    <w:name w:val="toc 9"/>
    <w:basedOn w:val="Normal"/>
    <w:next w:val="Normal"/>
    <w:autoRedefine/>
    <w:uiPriority w:val="39"/>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cs="Tahoma"/>
      <w:b/>
      <w:szCs w:val="20"/>
      <w:lang w:val="es-ES_tradnl"/>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basedOn w:val="Normal"/>
    <w:uiPriority w:val="34"/>
    <w:qFormat/>
    <w:rsid w:val="006C0CF3"/>
    <w:pPr>
      <w:ind w:left="720"/>
      <w:contextualSpacing/>
    </w:pPr>
  </w:style>
  <w:style w:type="paragraph" w:styleId="Sinespaciado">
    <w:name w:val="No Spacing"/>
    <w:link w:val="SinespaciadoCar"/>
    <w:uiPriority w:val="1"/>
    <w:qFormat/>
    <w:rsid w:val="006C0CF3"/>
    <w:pPr>
      <w:jc w:val="both"/>
    </w:pPr>
    <w:rPr>
      <w:sz w:val="24"/>
      <w:szCs w:val="24"/>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cs="Tahoma"/>
      <w:b/>
      <w:sz w:val="20"/>
      <w:szCs w:val="20"/>
      <w:lang w:val="es-CO"/>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uiPriority w:val="99"/>
    <w:semiHidden/>
    <w:rsid w:val="00704BEE"/>
    <w:pPr>
      <w:jc w:val="both"/>
    </w:pPr>
    <w:rPr>
      <w:sz w:val="24"/>
      <w:szCs w:val="24"/>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uiPriority w:val="99"/>
    <w:rsid w:val="00450639"/>
    <w:pPr>
      <w:spacing w:after="120" w:line="480" w:lineRule="auto"/>
      <w:ind w:left="283"/>
    </w:pPr>
  </w:style>
  <w:style w:type="character" w:customStyle="1" w:styleId="Sangra2detindependienteCar">
    <w:name w:val="Sangría 2 de t. independiente Car"/>
    <w:link w:val="Sangra2detindependiente"/>
    <w:uiPriority w:val="99"/>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uiPriority w:val="99"/>
    <w:rsid w:val="00437A3C"/>
    <w:pPr>
      <w:ind w:left="720"/>
      <w:contextualSpacing/>
      <w:jc w:val="left"/>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jc w:val="left"/>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jc w:val="left"/>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7C5CE1"/>
    <w:rPr>
      <w:sz w:val="20"/>
      <w:szCs w:val="20"/>
    </w:rPr>
  </w:style>
  <w:style w:type="character" w:customStyle="1" w:styleId="TextonotaalfinalCar">
    <w:name w:val="Texto nota al final Car"/>
    <w:basedOn w:val="Fuentedeprrafopredeter"/>
    <w:link w:val="Textonotaalfinal"/>
    <w:uiPriority w:val="99"/>
    <w:semiHidden/>
    <w:rsid w:val="007C5CE1"/>
  </w:style>
  <w:style w:type="character" w:styleId="Refdenotaalfinal">
    <w:name w:val="endnote reference"/>
    <w:basedOn w:val="Fuentedeprrafopredeter"/>
    <w:uiPriority w:val="99"/>
    <w:semiHidden/>
    <w:unhideWhenUsed/>
    <w:rsid w:val="007C5CE1"/>
    <w:rPr>
      <w:vertAlign w:val="superscript"/>
    </w:rPr>
  </w:style>
  <w:style w:type="character" w:styleId="Hipervnculovisitado">
    <w:name w:val="FollowedHyperlink"/>
    <w:uiPriority w:val="99"/>
    <w:semiHidden/>
    <w:unhideWhenUsed/>
    <w:rsid w:val="00D6541C"/>
    <w:rPr>
      <w:color w:val="800080"/>
      <w:u w:val="single"/>
    </w:rPr>
  </w:style>
  <w:style w:type="character" w:styleId="CitaHTML">
    <w:name w:val="HTML Cite"/>
    <w:uiPriority w:val="99"/>
    <w:semiHidden/>
    <w:unhideWhenUsed/>
    <w:rsid w:val="00D6541C"/>
    <w:rPr>
      <w:i w:val="0"/>
      <w:iCs w:val="0"/>
      <w:color w:val="0E774A"/>
    </w:rPr>
  </w:style>
  <w:style w:type="paragraph" w:customStyle="1" w:styleId="msonormal0">
    <w:name w:val="msonormal"/>
    <w:basedOn w:val="Normal"/>
    <w:uiPriority w:val="99"/>
    <w:rsid w:val="00D6541C"/>
    <w:pPr>
      <w:spacing w:before="100" w:beforeAutospacing="1" w:after="100" w:afterAutospacing="1"/>
      <w:jc w:val="left"/>
    </w:pPr>
  </w:style>
  <w:style w:type="character" w:customStyle="1" w:styleId="SinespaciadoCar">
    <w:name w:val="Sin espaciado Car"/>
    <w:link w:val="Sinespaciado"/>
    <w:uiPriority w:val="1"/>
    <w:locked/>
    <w:rsid w:val="00D6541C"/>
    <w:rPr>
      <w:sz w:val="24"/>
      <w:szCs w:val="24"/>
    </w:rPr>
  </w:style>
  <w:style w:type="paragraph" w:customStyle="1" w:styleId="Estilo1">
    <w:name w:val="Estilo1"/>
    <w:basedOn w:val="Epgrafe"/>
    <w:uiPriority w:val="99"/>
    <w:rsid w:val="00D6541C"/>
    <w:pPr>
      <w:tabs>
        <w:tab w:val="clear" w:pos="0"/>
      </w:tabs>
      <w:spacing w:after="240" w:line="360" w:lineRule="auto"/>
    </w:pPr>
    <w:rPr>
      <w:rFonts w:ascii="Arial" w:hAnsi="Arial" w:cs="Times New Roman"/>
      <w:b/>
      <w:sz w:val="16"/>
      <w:szCs w:val="16"/>
      <w:lang w:val="es-MX" w:eastAsia="es-ES"/>
    </w:rPr>
  </w:style>
  <w:style w:type="paragraph" w:customStyle="1" w:styleId="Textoindepe">
    <w:name w:val="Texto indepe"/>
    <w:basedOn w:val="Normal"/>
    <w:uiPriority w:val="99"/>
    <w:rsid w:val="00D6541C"/>
    <w:pPr>
      <w:widowControl w:val="0"/>
    </w:pPr>
    <w:rPr>
      <w:szCs w:val="20"/>
      <w:lang w:val="en-US"/>
    </w:rPr>
  </w:style>
  <w:style w:type="paragraph" w:customStyle="1" w:styleId="Textoindependiente31">
    <w:name w:val="Texto independiente 31"/>
    <w:basedOn w:val="Normal"/>
    <w:uiPriority w:val="99"/>
    <w:rsid w:val="00D6541C"/>
    <w:pPr>
      <w:widowControl w:val="0"/>
    </w:pPr>
    <w:rPr>
      <w:rFonts w:ascii="Arial" w:hAnsi="Arial"/>
      <w:szCs w:val="20"/>
      <w:lang w:val="es-ES_tradnl"/>
    </w:rPr>
  </w:style>
  <w:style w:type="paragraph" w:customStyle="1" w:styleId="xl65">
    <w:name w:val="xl65"/>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66">
    <w:name w:val="xl66"/>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0"/>
      <w:szCs w:val="20"/>
      <w:lang w:val="es-CO" w:eastAsia="es-CO"/>
    </w:rPr>
  </w:style>
  <w:style w:type="paragraph" w:customStyle="1" w:styleId="xl67">
    <w:name w:val="xl67"/>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8">
    <w:name w:val="xl68"/>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9">
    <w:name w:val="xl69"/>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70">
    <w:name w:val="xl70"/>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color w:val="000000"/>
      <w:sz w:val="20"/>
      <w:szCs w:val="20"/>
      <w:lang w:val="es-CO" w:eastAsia="es-CO"/>
    </w:rPr>
  </w:style>
  <w:style w:type="paragraph" w:customStyle="1" w:styleId="xl71">
    <w:name w:val="xl71"/>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2">
    <w:name w:val="xl72"/>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3">
    <w:name w:val="xl73"/>
    <w:basedOn w:val="Normal"/>
    <w:uiPriority w:val="99"/>
    <w:rsid w:val="00D6541C"/>
    <w:pPr>
      <w:spacing w:before="100" w:beforeAutospacing="1" w:after="100" w:afterAutospacing="1"/>
      <w:jc w:val="left"/>
    </w:pPr>
    <w:rPr>
      <w:i/>
      <w:iCs/>
      <w:lang w:val="es-CO" w:eastAsia="es-CO"/>
    </w:rPr>
  </w:style>
  <w:style w:type="paragraph" w:customStyle="1" w:styleId="dentjustb">
    <w:name w:val="dentjustb"/>
    <w:basedOn w:val="Normal"/>
    <w:uiPriority w:val="99"/>
    <w:rsid w:val="00D6541C"/>
    <w:pPr>
      <w:spacing w:before="100" w:beforeAutospacing="1" w:after="100" w:afterAutospacing="1"/>
      <w:jc w:val="left"/>
    </w:pPr>
    <w:rPr>
      <w:lang w:val="es-CO" w:eastAsia="es-CO"/>
    </w:rPr>
  </w:style>
  <w:style w:type="paragraph" w:customStyle="1" w:styleId="pequena">
    <w:name w:val="pequena"/>
    <w:basedOn w:val="Normal"/>
    <w:uiPriority w:val="99"/>
    <w:rsid w:val="00D6541C"/>
    <w:pPr>
      <w:spacing w:before="100" w:beforeAutospacing="1" w:after="100" w:afterAutospacing="1"/>
      <w:jc w:val="left"/>
    </w:pPr>
    <w:rPr>
      <w:lang w:val="es-CO" w:eastAsia="es-CO"/>
    </w:rPr>
  </w:style>
  <w:style w:type="character" w:customStyle="1" w:styleId="apple-style-span">
    <w:name w:val="apple-style-span"/>
    <w:rsid w:val="00D6541C"/>
  </w:style>
  <w:style w:type="character" w:customStyle="1" w:styleId="st1">
    <w:name w:val="st1"/>
    <w:rsid w:val="00D6541C"/>
  </w:style>
  <w:style w:type="character" w:customStyle="1" w:styleId="gl3">
    <w:name w:val="gl3"/>
    <w:basedOn w:val="Fuentedeprrafopredeter"/>
    <w:rsid w:val="00D6541C"/>
  </w:style>
  <w:style w:type="table" w:styleId="Sombreadoclaro-nfasis3">
    <w:name w:val="Light Shading Accent 3"/>
    <w:basedOn w:val="Tablanormal"/>
    <w:uiPriority w:val="60"/>
    <w:semiHidden/>
    <w:unhideWhenUsed/>
    <w:rsid w:val="00D6541C"/>
    <w:rPr>
      <w:rFonts w:ascii="Calibri" w:eastAsia="Calibri" w:hAnsi="Calibri"/>
      <w:color w:val="76923C"/>
      <w:lang w:val="es-ES_tradnl" w:eastAsia="es-ES_tradnl"/>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semiHidden/>
    <w:unhideWhenUsed/>
    <w:rsid w:val="00D6541C"/>
    <w:rPr>
      <w:rFonts w:ascii="Calibri" w:eastAsia="Calibri" w:hAnsi="Calibri"/>
      <w:color w:val="31849B"/>
      <w:lang w:val="es-ES_tradnl" w:eastAsia="es-ES_tradnl"/>
    </w:rPr>
    <w:tblPr>
      <w:tblStyleRowBandSize w:val="1"/>
      <w:tblStyleColBandSize w:val="1"/>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ombreadomedio2-nfasis5">
    <w:name w:val="Medium Shading 2 Accent 5"/>
    <w:basedOn w:val="Tablanormal"/>
    <w:uiPriority w:val="64"/>
    <w:semiHidden/>
    <w:unhideWhenUsed/>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1-nfasis6">
    <w:name w:val="Medium List 1 Accent 6"/>
    <w:basedOn w:val="Tablanormal"/>
    <w:uiPriority w:val="65"/>
    <w:semiHidden/>
    <w:unhideWhenUsed/>
    <w:rsid w:val="00D6541C"/>
    <w:rPr>
      <w:rFonts w:ascii="Calibri" w:eastAsia="Calibri" w:hAnsi="Calibri"/>
      <w:color w:val="000000"/>
      <w:lang w:val="es-ES_tradnl" w:eastAsia="es-ES_tradnl"/>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hint="eastAsia"/>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claro1">
    <w:name w:val="Sombreado claro1"/>
    <w:basedOn w:val="Tablanormal"/>
    <w:uiPriority w:val="60"/>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uadrculaclara1">
    <w:name w:val="Cuadrícula clara1"/>
    <w:basedOn w:val="Tablanormal"/>
    <w:uiPriority w:val="62"/>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6541C"/>
    <w:rPr>
      <w:rFonts w:ascii="Cambria" w:hAnsi="Cambria" w:cs="Calibri"/>
      <w:color w:val="000000"/>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Sombreadomedio21">
    <w:name w:val="Sombreado medio 21"/>
    <w:basedOn w:val="Tablanormal"/>
    <w:uiPriority w:val="64"/>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6541C"/>
    <w:rPr>
      <w:rFonts w:ascii="Calibri" w:eastAsia="Calibri" w:hAnsi="Calibri"/>
      <w:color w:val="000000"/>
      <w:lang w:val="es-ES_tradnl" w:eastAsia="es-ES_tradnl"/>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6541C"/>
    <w:rPr>
      <w:rFonts w:ascii="Calibri" w:eastAsia="Calibri" w:hAnsi="Calibri"/>
      <w:color w:val="000000"/>
      <w:lang w:val="es-ES_tradnl" w:eastAsia="es-ES_tradnl"/>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hint="eastAsia"/>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6541C"/>
    <w:rPr>
      <w:rFonts w:ascii="Calibri" w:eastAsia="Calibri" w:hAnsi="Calibri"/>
      <w:lang w:val="es-ES_tradnl" w:eastAsia="es-ES_tradnl"/>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Lines="0" w:before="0" w:beforeAutospacing="0" w:afterLines="0" w:after="0" w:afterAutospacing="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customStyle="1" w:styleId="Normal1">
    <w:name w:val="Normal1"/>
    <w:basedOn w:val="Normal"/>
    <w:rsid w:val="00D6541C"/>
    <w:rPr>
      <w:rFonts w:ascii="Arial" w:hAnsi="Arial"/>
      <w:szCs w:val="20"/>
      <w:lang w:val="es-ES_tradnl" w:eastAsia="es-ES_tradnl"/>
    </w:rPr>
  </w:style>
  <w:style w:type="paragraph" w:customStyle="1" w:styleId="DescripcindeFuente">
    <w:name w:val="Descripción de Fuente"/>
    <w:basedOn w:val="TDC1"/>
    <w:next w:val="Epgrafe"/>
    <w:rsid w:val="00D6541C"/>
    <w:pPr>
      <w:jc w:val="right"/>
    </w:pPr>
    <w:rPr>
      <w:rFonts w:ascii="Arial" w:hAnsi="Arial"/>
      <w:b w:val="0"/>
      <w:bCs w:val="0"/>
      <w:i w:val="0"/>
      <w:caps/>
      <w:sz w:val="20"/>
      <w:szCs w:val="20"/>
      <w:lang w:val="es-ES_tradnl" w:eastAsia="es-ES_tradnl"/>
    </w:rPr>
  </w:style>
  <w:style w:type="paragraph" w:customStyle="1" w:styleId="normal2">
    <w:name w:val="normal2"/>
    <w:basedOn w:val="Normal1"/>
    <w:rsid w:val="00D6541C"/>
    <w:rPr>
      <w:lang w:val="es-ES"/>
    </w:rPr>
  </w:style>
  <w:style w:type="character" w:customStyle="1" w:styleId="Mencinsinresolver1">
    <w:name w:val="Mención sin resolver1"/>
    <w:basedOn w:val="Fuentedeprrafopredeter"/>
    <w:uiPriority w:val="99"/>
    <w:semiHidden/>
    <w:unhideWhenUsed/>
    <w:rsid w:val="00D6541C"/>
    <w:rPr>
      <w:color w:val="605E5C"/>
      <w:shd w:val="clear" w:color="auto" w:fill="E1DFDD"/>
    </w:rPr>
  </w:style>
  <w:style w:type="paragraph" w:customStyle="1" w:styleId="TabTitAdentro">
    <w:name w:val="TabTitAdentro"/>
    <w:basedOn w:val="Normal"/>
    <w:rsid w:val="00D6541C"/>
    <w:pPr>
      <w:spacing w:before="120" w:after="120"/>
      <w:jc w:val="center"/>
    </w:pPr>
    <w:rPr>
      <w:rFonts w:ascii="Verdana" w:hAnsi="Verdana"/>
      <w:b/>
      <w:sz w:val="20"/>
      <w:szCs w:val="20"/>
      <w:lang w:val="es-CO" w:eastAsia="es-ES_tradnl"/>
    </w:rPr>
  </w:style>
  <w:style w:type="paragraph" w:customStyle="1" w:styleId="Fuente">
    <w:name w:val="Fuente"/>
    <w:basedOn w:val="Normal"/>
    <w:next w:val="Normal"/>
    <w:rsid w:val="00D6541C"/>
    <w:pPr>
      <w:numPr>
        <w:numId w:val="14"/>
      </w:numPr>
      <w:spacing w:before="120" w:after="120"/>
    </w:pPr>
    <w:rPr>
      <w:rFonts w:ascii="Verdana" w:hAnsi="Verdana"/>
      <w:sz w:val="18"/>
      <w:szCs w:val="20"/>
      <w:lang w:val="es-CO" w:eastAsia="es-ES_tradnl"/>
    </w:rPr>
  </w:style>
  <w:style w:type="paragraph" w:customStyle="1" w:styleId="ListadeTablas">
    <w:name w:val="Lista de Tablas"/>
    <w:basedOn w:val="Normal"/>
    <w:autoRedefine/>
    <w:rsid w:val="00D6541C"/>
    <w:pPr>
      <w:widowControl w:val="0"/>
      <w:tabs>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line="360" w:lineRule="auto"/>
      <w:jc w:val="center"/>
    </w:pPr>
    <w:rPr>
      <w:rFonts w:ascii="Arial" w:hAnsi="Arial" w:cs="Arial"/>
      <w:snapToGrid w:val="0"/>
      <w:sz w:val="18"/>
      <w:szCs w:val="18"/>
      <w:lang w:val="es-CO" w:eastAsia="es-ES_tradnl"/>
    </w:rPr>
  </w:style>
  <w:style w:type="paragraph" w:customStyle="1" w:styleId="FormatodeTablas">
    <w:name w:val="Formato de Tablas"/>
    <w:basedOn w:val="Ttulo5"/>
    <w:autoRedefine/>
    <w:rsid w:val="00D6541C"/>
    <w:pPr>
      <w:keepNext/>
      <w:tabs>
        <w:tab w:val="clear" w:pos="1008"/>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before="0" w:after="0"/>
      <w:ind w:left="0" w:firstLine="0"/>
      <w:contextualSpacing/>
      <w:jc w:val="center"/>
    </w:pPr>
    <w:rPr>
      <w:rFonts w:ascii="Tahoma" w:hAnsi="Tahoma"/>
      <w:snapToGrid w:val="0"/>
      <w:sz w:val="16"/>
      <w:lang w:eastAsia="es-ES_tradnl"/>
    </w:rPr>
  </w:style>
  <w:style w:type="paragraph" w:styleId="TtulodeTDC">
    <w:name w:val="TOC Heading"/>
    <w:basedOn w:val="Ttulo1"/>
    <w:next w:val="Normal"/>
    <w:uiPriority w:val="39"/>
    <w:unhideWhenUsed/>
    <w:qFormat/>
    <w:rsid w:val="00D6541C"/>
    <w:pPr>
      <w:keepLines/>
      <w:spacing w:after="0" w:line="259" w:lineRule="auto"/>
      <w:jc w:val="left"/>
      <w:outlineLvl w:val="9"/>
    </w:pPr>
    <w:rPr>
      <w:rFonts w:asciiTheme="majorHAnsi" w:eastAsiaTheme="majorEastAsia" w:hAnsiTheme="majorHAnsi" w:cstheme="majorBidi"/>
      <w:bCs w:val="0"/>
      <w:color w:val="365F91" w:themeColor="accent1" w:themeShade="BF"/>
      <w:kern w:val="0"/>
      <w:lang w:val="es-ES_tradnl" w:eastAsia="es-ES_tradnl"/>
    </w:rPr>
  </w:style>
  <w:style w:type="character" w:customStyle="1" w:styleId="name">
    <w:name w:val="name"/>
    <w:basedOn w:val="Fuentedeprrafopredeter"/>
    <w:rsid w:val="009F248F"/>
  </w:style>
  <w:style w:type="character" w:customStyle="1" w:styleId="authorship">
    <w:name w:val="authorship"/>
    <w:basedOn w:val="Fuentedeprrafopredeter"/>
    <w:rsid w:val="009F248F"/>
  </w:style>
  <w:style w:type="character" w:customStyle="1" w:styleId="Subttulo1">
    <w:name w:val="Subtítulo1"/>
    <w:basedOn w:val="Fuentedeprrafopredeter"/>
    <w:rsid w:val="009F24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9" w:unhideWhenUsed="0" w:qFormat="1"/>
    <w:lsdException w:name="heading 3" w:semiHidden="0" w:uiPriority="99" w:unhideWhenUsed="0" w:qFormat="1"/>
    <w:lsdException w:name="heading 4" w:semiHidden="0" w:uiPriority="99" w:unhideWhenUsed="0" w:qFormat="1"/>
    <w:lsdException w:name="heading 5" w:semiHidden="0" w:uiPriority="99" w:unhideWhenUsed="0" w:qFormat="1"/>
    <w:lsdException w:name="heading 6" w:semiHidden="0" w:uiPriority="9"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Normal Table" w:semiHidden="0" w:unhideWhenUsed="0"/>
    <w:lsdException w:name="annotation subject" w:uiPriority="99"/>
    <w:lsdException w:name="No List" w:uiPriority="99"/>
    <w:lsdException w:name="Table Subtle 2" w:semiHidden="0" w:unhideWhenUsed="0"/>
    <w:lsdException w:name="Table Web 3" w:semiHidden="0" w:unhideWhenUsed="0"/>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62F3"/>
    <w:pPr>
      <w:jc w:val="both"/>
    </w:pPr>
    <w:rPr>
      <w:rFonts w:ascii="Arial Narrow" w:hAnsi="Arial Narrow"/>
      <w:sz w:val="22"/>
      <w:szCs w:val="24"/>
    </w:rPr>
  </w:style>
  <w:style w:type="paragraph" w:styleId="Ttulo1">
    <w:name w:val="heading 1"/>
    <w:basedOn w:val="Normal"/>
    <w:next w:val="Normal"/>
    <w:link w:val="Ttulo1Car"/>
    <w:autoRedefine/>
    <w:uiPriority w:val="9"/>
    <w:qFormat/>
    <w:rsid w:val="0020109F"/>
    <w:pPr>
      <w:keepNext/>
      <w:spacing w:before="240" w:after="240"/>
      <w:outlineLvl w:val="0"/>
    </w:pPr>
    <w:rPr>
      <w:b/>
      <w:bCs/>
      <w:caps/>
      <w:kern w:val="32"/>
      <w:szCs w:val="32"/>
      <w:lang w:val="es-CO"/>
    </w:rPr>
  </w:style>
  <w:style w:type="paragraph" w:styleId="Ttulo2">
    <w:name w:val="heading 2"/>
    <w:basedOn w:val="Normal"/>
    <w:next w:val="Normal"/>
    <w:link w:val="Ttulo2Car"/>
    <w:autoRedefine/>
    <w:uiPriority w:val="99"/>
    <w:qFormat/>
    <w:rsid w:val="004062F3"/>
    <w:pPr>
      <w:keepNext/>
      <w:spacing w:before="120" w:after="120"/>
      <w:outlineLvl w:val="1"/>
    </w:pPr>
    <w:rPr>
      <w:bCs/>
      <w:caps/>
    </w:rPr>
  </w:style>
  <w:style w:type="paragraph" w:styleId="Ttulo3">
    <w:name w:val="heading 3"/>
    <w:basedOn w:val="Normal"/>
    <w:next w:val="Normal"/>
    <w:link w:val="Ttulo3Car"/>
    <w:autoRedefine/>
    <w:uiPriority w:val="99"/>
    <w:qFormat/>
    <w:rsid w:val="0020109F"/>
    <w:pPr>
      <w:keepNext/>
      <w:outlineLvl w:val="2"/>
    </w:pPr>
    <w:rPr>
      <w:b/>
    </w:rPr>
  </w:style>
  <w:style w:type="paragraph" w:styleId="Ttulo4">
    <w:name w:val="heading 4"/>
    <w:basedOn w:val="Normal"/>
    <w:next w:val="Normal"/>
    <w:link w:val="Ttulo4Car"/>
    <w:uiPriority w:val="99"/>
    <w:qFormat/>
    <w:rsid w:val="00325418"/>
    <w:pPr>
      <w:keepNext/>
      <w:jc w:val="center"/>
      <w:outlineLvl w:val="3"/>
    </w:pPr>
    <w:rPr>
      <w:rFonts w:ascii="Book Antiqua" w:hAnsi="Book Antiqua"/>
      <w:b/>
      <w:sz w:val="20"/>
    </w:rPr>
  </w:style>
  <w:style w:type="paragraph" w:styleId="Ttulo5">
    <w:name w:val="heading 5"/>
    <w:basedOn w:val="Normal"/>
    <w:next w:val="Normal"/>
    <w:link w:val="Ttulo5Car"/>
    <w:uiPriority w:val="99"/>
    <w:qFormat/>
    <w:rsid w:val="00504E8D"/>
    <w:pPr>
      <w:tabs>
        <w:tab w:val="num" w:pos="1008"/>
      </w:tabs>
      <w:spacing w:before="240" w:after="60"/>
      <w:ind w:left="1008" w:hanging="1008"/>
      <w:outlineLvl w:val="4"/>
    </w:pPr>
    <w:rPr>
      <w:szCs w:val="20"/>
      <w:lang w:val="es-ES_tradnl"/>
    </w:rPr>
  </w:style>
  <w:style w:type="paragraph" w:styleId="Ttulo6">
    <w:name w:val="heading 6"/>
    <w:basedOn w:val="Normal"/>
    <w:next w:val="Normal"/>
    <w:link w:val="Ttulo6Car"/>
    <w:uiPriority w:val="9"/>
    <w:qFormat/>
    <w:rsid w:val="00504E8D"/>
    <w:pPr>
      <w:tabs>
        <w:tab w:val="num" w:pos="1152"/>
      </w:tabs>
      <w:spacing w:before="240" w:after="60"/>
      <w:ind w:left="1152" w:hanging="1152"/>
      <w:outlineLvl w:val="5"/>
    </w:pPr>
    <w:rPr>
      <w:i/>
      <w:szCs w:val="20"/>
      <w:lang w:val="es-ES_tradnl"/>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20109F"/>
    <w:rPr>
      <w:rFonts w:ascii="Arial Narrow" w:hAnsi="Arial Narrow"/>
      <w:b/>
      <w:bCs/>
      <w:caps/>
      <w:kern w:val="32"/>
      <w:sz w:val="22"/>
      <w:szCs w:val="32"/>
      <w:lang w:val="es-CO"/>
    </w:rPr>
  </w:style>
  <w:style w:type="character" w:customStyle="1" w:styleId="Ttulo2Car">
    <w:name w:val="Título 2 Car"/>
    <w:link w:val="Ttulo2"/>
    <w:uiPriority w:val="99"/>
    <w:locked/>
    <w:rsid w:val="004062F3"/>
    <w:rPr>
      <w:rFonts w:ascii="Arial Narrow" w:hAnsi="Arial Narrow"/>
      <w:bCs/>
      <w:caps/>
      <w:sz w:val="22"/>
      <w:szCs w:val="24"/>
    </w:rPr>
  </w:style>
  <w:style w:type="character" w:customStyle="1" w:styleId="Ttulo3Car">
    <w:name w:val="Título 3 Car"/>
    <w:link w:val="Ttulo3"/>
    <w:uiPriority w:val="99"/>
    <w:locked/>
    <w:rsid w:val="0020109F"/>
    <w:rPr>
      <w:rFonts w:ascii="Arial Narrow" w:hAnsi="Arial Narrow"/>
      <w:b/>
      <w:sz w:val="22"/>
      <w:szCs w:val="24"/>
    </w:rPr>
  </w:style>
  <w:style w:type="character" w:customStyle="1" w:styleId="Ttulo4Car">
    <w:name w:val="Título 4 Car"/>
    <w:link w:val="Ttulo4"/>
    <w:uiPriority w:val="99"/>
    <w:locked/>
    <w:rsid w:val="00504E8D"/>
    <w:rPr>
      <w:rFonts w:ascii="Book Antiqua" w:hAnsi="Book Antiqua" w:cs="Times New Roman"/>
      <w:b/>
      <w:sz w:val="24"/>
      <w:szCs w:val="24"/>
    </w:rPr>
  </w:style>
  <w:style w:type="character" w:customStyle="1" w:styleId="Ttulo5Car">
    <w:name w:val="Título 5 Car"/>
    <w:link w:val="Ttulo5"/>
    <w:uiPriority w:val="99"/>
    <w:locked/>
    <w:rsid w:val="00504E8D"/>
    <w:rPr>
      <w:rFonts w:cs="Times New Roman"/>
      <w:sz w:val="22"/>
      <w:lang w:val="es-ES_tradnl" w:eastAsia="x-none"/>
    </w:rPr>
  </w:style>
  <w:style w:type="character" w:customStyle="1" w:styleId="Ttulo6Car">
    <w:name w:val="Título 6 Car"/>
    <w:link w:val="Ttulo6"/>
    <w:uiPriority w:val="9"/>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Car,Caption Table,Caption Table1,Caption Table1a,Epígrafe Car Car,Map,AGT ESIA,Tabla"/>
    <w:basedOn w:val="Normal"/>
    <w:link w:val="TextoindependienteCar"/>
    <w:rsid w:val="00521BF8"/>
    <w:pPr>
      <w:widowControl w:val="0"/>
      <w:tabs>
        <w:tab w:val="left" w:pos="-720"/>
      </w:tabs>
      <w:suppressAutoHyphens/>
    </w:pPr>
    <w:rPr>
      <w:rFonts w:ascii="Arial" w:hAnsi="Arial"/>
      <w:spacing w:val="-3"/>
      <w:szCs w:val="20"/>
    </w:rPr>
  </w:style>
  <w:style w:type="character" w:customStyle="1" w:styleId="TextoindependienteCar">
    <w:name w:val="Texto independiente Car"/>
    <w:aliases w:val="Car Car,Caption Table Car,Caption Table1 Car,Caption Table1a Car,Epígrafe Car Car Car,Map Car,AGT ESIA Car,Tabla Car"/>
    <w:link w:val="Textoindependiente"/>
    <w:locked/>
    <w:rsid w:val="0004034A"/>
    <w:rPr>
      <w:rFonts w:ascii="Arial" w:hAnsi="Arial" w:cs="Times New Roman"/>
      <w:spacing w:val="-3"/>
      <w:sz w:val="24"/>
      <w:lang w:val="es-ES" w:eastAsia="es-ES" w:bidi="ar-SA"/>
    </w:rPr>
  </w:style>
  <w:style w:type="paragraph" w:styleId="Ttulo">
    <w:name w:val="Title"/>
    <w:basedOn w:val="Normal"/>
    <w:link w:val="TtuloCar"/>
    <w:qFormat/>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w:basedOn w:val="Normal"/>
    <w:link w:val="TextonotapieCar"/>
    <w:uiPriority w:val="99"/>
    <w:rsid w:val="001E3ACA"/>
    <w:rPr>
      <w:sz w:val="20"/>
      <w:szCs w:val="20"/>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link w:val="Textonotapie"/>
    <w:uiPriority w:val="99"/>
    <w:locked/>
    <w:rsid w:val="00125854"/>
    <w:rPr>
      <w:rFonts w:cs="Times New Roman"/>
    </w:rPr>
  </w:style>
  <w:style w:type="character" w:styleId="Refdenotaalpie">
    <w:name w:val="footnote reference"/>
    <w:aliases w:val="titulo 2"/>
    <w:uiPriority w:val="99"/>
    <w:rsid w:val="001E3ACA"/>
    <w:rPr>
      <w:rFonts w:cs="Times New Roman"/>
      <w:vertAlign w:val="superscript"/>
    </w:rPr>
  </w:style>
  <w:style w:type="paragraph" w:styleId="TDC1">
    <w:name w:val="toc 1"/>
    <w:basedOn w:val="Normal"/>
    <w:next w:val="Normal"/>
    <w:autoRedefine/>
    <w:uiPriority w:val="39"/>
    <w:qFormat/>
    <w:rsid w:val="001E3ACA"/>
    <w:pPr>
      <w:spacing w:before="120"/>
      <w:jc w:val="left"/>
    </w:pPr>
    <w:rPr>
      <w:rFonts w:asciiTheme="minorHAnsi" w:hAnsiTheme="minorHAnsi"/>
      <w:b/>
      <w:bCs/>
      <w:i/>
      <w:iCs/>
      <w:sz w:val="24"/>
    </w:rPr>
  </w:style>
  <w:style w:type="paragraph" w:styleId="Textoindependiente2">
    <w:name w:val="Body Text 2"/>
    <w:basedOn w:val="Normal"/>
    <w:link w:val="Textoindependiente2Car"/>
    <w:uiPriority w:val="99"/>
    <w:rsid w:val="00325418"/>
    <w:rPr>
      <w:rFonts w:ascii="Arial" w:hAnsi="Arial"/>
      <w:sz w:val="20"/>
      <w:szCs w:val="20"/>
      <w:lang w:val="es-ES_tradnl"/>
    </w:rPr>
  </w:style>
  <w:style w:type="character" w:customStyle="1" w:styleId="Textoindependiente2Car">
    <w:name w:val="Texto independiente 2 Car"/>
    <w:link w:val="Textoindependiente2"/>
    <w:uiPriority w:val="99"/>
    <w:locked/>
    <w:rsid w:val="00504E8D"/>
    <w:rPr>
      <w:rFonts w:ascii="Arial" w:hAnsi="Arial" w:cs="Times New Roman"/>
      <w:lang w:val="es-ES_tradnl" w:eastAsia="x-none"/>
    </w:rPr>
  </w:style>
  <w:style w:type="paragraph" w:styleId="Encabezado">
    <w:name w:val="header"/>
    <w:basedOn w:val="Normal"/>
    <w:link w:val="EncabezadoCar"/>
    <w:rsid w:val="00325418"/>
    <w:pPr>
      <w:tabs>
        <w:tab w:val="center" w:pos="4320"/>
        <w:tab w:val="right" w:pos="8640"/>
      </w:tabs>
    </w:pPr>
    <w:rPr>
      <w:lang w:val="en-US" w:eastAsia="en-US"/>
    </w:rPr>
  </w:style>
  <w:style w:type="character" w:customStyle="1" w:styleId="EncabezadoCar">
    <w:name w:val="Encabezado Car"/>
    <w:link w:val="Encabezado"/>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uiPriority w:val="99"/>
    <w:rsid w:val="00325418"/>
    <w:pPr>
      <w:tabs>
        <w:tab w:val="left" w:pos="252"/>
      </w:tabs>
      <w:ind w:left="360"/>
    </w:pPr>
    <w:rPr>
      <w:rFonts w:ascii="Book Antiqua" w:hAnsi="Book Antiqua"/>
      <w:lang w:eastAsia="en-US"/>
    </w:rPr>
  </w:style>
  <w:style w:type="character" w:customStyle="1" w:styleId="SangradetextonormalCar">
    <w:name w:val="Sangría de texto normal Car"/>
    <w:link w:val="Sangradetextonormal"/>
    <w:uiPriority w:val="99"/>
    <w:locked/>
    <w:rsid w:val="00504E8D"/>
    <w:rPr>
      <w:rFonts w:ascii="Book Antiqua" w:hAnsi="Book Antiqua" w:cs="Times New Roman"/>
      <w:sz w:val="24"/>
      <w:szCs w:val="24"/>
      <w:lang w:val="x-none" w:eastAsia="en-US"/>
    </w:rPr>
  </w:style>
  <w:style w:type="table" w:styleId="Tablaconcuadrcula">
    <w:name w:val="Table Grid"/>
    <w:basedOn w:val="Tablanormal"/>
    <w:uiPriority w:val="59"/>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567027"/>
    <w:rPr>
      <w:rFonts w:cs="Times New Roman"/>
      <w:i/>
      <w:iCs/>
    </w:rPr>
  </w:style>
  <w:style w:type="paragraph" w:styleId="Textoindependiente3">
    <w:name w:val="Body Text 3"/>
    <w:basedOn w:val="Normal"/>
    <w:link w:val="Textoindependiente3Car"/>
    <w:uiPriority w:val="99"/>
    <w:rsid w:val="00504E8D"/>
    <w:pPr>
      <w:spacing w:after="120"/>
    </w:pPr>
    <w:rPr>
      <w:sz w:val="16"/>
      <w:szCs w:val="16"/>
    </w:rPr>
  </w:style>
  <w:style w:type="character" w:customStyle="1" w:styleId="Textoindependiente3Car">
    <w:name w:val="Texto independiente 3 Car"/>
    <w:link w:val="Textoindependiente3"/>
    <w:uiPriority w:val="99"/>
    <w:locked/>
    <w:rsid w:val="00504E8D"/>
    <w:rPr>
      <w:rFonts w:cs="Times New Roman"/>
      <w:sz w:val="16"/>
      <w:szCs w:val="16"/>
    </w:rPr>
  </w:style>
  <w:style w:type="paragraph" w:styleId="Subttulo">
    <w:name w:val="Subtitle"/>
    <w:basedOn w:val="Normal"/>
    <w:link w:val="SubttuloCar"/>
    <w:qFormat/>
    <w:rsid w:val="00125854"/>
    <w:pPr>
      <w:widowControl w:val="0"/>
      <w:autoSpaceDE w:val="0"/>
      <w:autoSpaceDN w:val="0"/>
      <w:jc w:val="center"/>
    </w:pPr>
    <w:rPr>
      <w:rFonts w:ascii="Arial" w:hAnsi="Arial" w:cs="Arial"/>
      <w:b/>
      <w:bCs/>
      <w:sz w:val="18"/>
      <w:szCs w:val="18"/>
      <w:lang w:val="es-MX"/>
    </w:rPr>
  </w:style>
  <w:style w:type="character" w:customStyle="1" w:styleId="SubttuloCar">
    <w:name w:val="Subtítulo Car"/>
    <w:link w:val="Subttulo"/>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Epgrafe">
    <w:name w:val="caption"/>
    <w:basedOn w:val="Normal"/>
    <w:next w:val="Normal"/>
    <w:autoRedefine/>
    <w:qFormat/>
    <w:rsid w:val="004062F3"/>
    <w:pPr>
      <w:tabs>
        <w:tab w:val="left" w:pos="0"/>
      </w:tabs>
      <w:spacing w:before="120"/>
      <w:jc w:val="center"/>
    </w:pPr>
    <w:rPr>
      <w:rFonts w:cs="Tahoma"/>
      <w:bCs/>
      <w:sz w:val="18"/>
      <w:szCs w:val="20"/>
      <w:lang w:val="es-ES_tradnl" w:eastAsia="es-CO"/>
    </w:rPr>
  </w:style>
  <w:style w:type="character" w:styleId="Refdecomentario">
    <w:name w:val="annotation reference"/>
    <w:uiPriority w:val="99"/>
    <w:rsid w:val="00125854"/>
    <w:rPr>
      <w:rFonts w:cs="Times New Roman"/>
      <w:sz w:val="16"/>
      <w:szCs w:val="16"/>
    </w:rPr>
  </w:style>
  <w:style w:type="paragraph" w:styleId="Textocomentario">
    <w:name w:val="annotation text"/>
    <w:basedOn w:val="Normal"/>
    <w:link w:val="TextocomentarioCar"/>
    <w:uiPriority w:val="99"/>
    <w:rsid w:val="00125854"/>
    <w:rPr>
      <w:rFonts w:ascii="Tahoma" w:hAnsi="Tahoma" w:cs="Tahoma"/>
      <w:sz w:val="20"/>
      <w:szCs w:val="20"/>
    </w:rPr>
  </w:style>
  <w:style w:type="character" w:customStyle="1" w:styleId="TextocomentarioCar">
    <w:name w:val="Texto comentario Car"/>
    <w:link w:val="Textocomentario"/>
    <w:uiPriority w:val="99"/>
    <w:locked/>
    <w:rsid w:val="00125854"/>
    <w:rPr>
      <w:rFonts w:ascii="Tahoma" w:hAnsi="Tahoma" w:cs="Tahoma"/>
    </w:rPr>
  </w:style>
  <w:style w:type="paragraph" w:styleId="Textodeglobo">
    <w:name w:val="Balloon Text"/>
    <w:basedOn w:val="Normal"/>
    <w:link w:val="TextodegloboCar"/>
    <w:uiPriority w:val="99"/>
    <w:rsid w:val="00125854"/>
    <w:rPr>
      <w:rFonts w:ascii="Tahoma" w:hAnsi="Tahoma" w:cs="Tahoma"/>
      <w:sz w:val="16"/>
      <w:szCs w:val="16"/>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qFormat/>
    <w:rsid w:val="00125854"/>
    <w:pPr>
      <w:ind w:left="440"/>
      <w:jc w:val="left"/>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uiPriority w:val="39"/>
    <w:rsid w:val="00125854"/>
    <w:pPr>
      <w:ind w:left="880"/>
      <w:jc w:val="left"/>
    </w:pPr>
    <w:rPr>
      <w:rFonts w:asciiTheme="minorHAnsi" w:hAnsiTheme="minorHAnsi"/>
      <w:sz w:val="20"/>
      <w:szCs w:val="20"/>
    </w:rPr>
  </w:style>
  <w:style w:type="paragraph" w:styleId="TDC6">
    <w:name w:val="toc 6"/>
    <w:basedOn w:val="Normal"/>
    <w:next w:val="Normal"/>
    <w:autoRedefine/>
    <w:uiPriority w:val="39"/>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cs="Tahoma"/>
      <w:sz w:val="20"/>
      <w:szCs w:val="20"/>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uiPriority w:val="99"/>
    <w:rsid w:val="00125854"/>
    <w:rPr>
      <w:b/>
      <w:bCs/>
    </w:rPr>
  </w:style>
  <w:style w:type="character" w:customStyle="1" w:styleId="AsuntodelcomentarioCar">
    <w:name w:val="Asunto del comentario Car"/>
    <w:link w:val="Asuntodelcomentario"/>
    <w:uiPriority w:val="99"/>
    <w:locked/>
    <w:rsid w:val="00125854"/>
    <w:rPr>
      <w:rFonts w:ascii="Tahoma" w:hAnsi="Tahoma" w:cs="Tahoma"/>
      <w:b/>
      <w:bCs/>
    </w:rPr>
  </w:style>
  <w:style w:type="paragraph" w:styleId="TDC7">
    <w:name w:val="toc 7"/>
    <w:basedOn w:val="Normal"/>
    <w:next w:val="Normal"/>
    <w:autoRedefine/>
    <w:uiPriority w:val="39"/>
    <w:rsid w:val="00125854"/>
    <w:pPr>
      <w:ind w:left="1320"/>
      <w:jc w:val="left"/>
    </w:pPr>
    <w:rPr>
      <w:rFonts w:asciiTheme="minorHAnsi" w:hAnsiTheme="minorHAnsi"/>
      <w:sz w:val="20"/>
      <w:szCs w:val="20"/>
    </w:rPr>
  </w:style>
  <w:style w:type="paragraph" w:styleId="TDC8">
    <w:name w:val="toc 8"/>
    <w:basedOn w:val="Normal"/>
    <w:next w:val="Normal"/>
    <w:autoRedefine/>
    <w:uiPriority w:val="39"/>
    <w:rsid w:val="00125854"/>
    <w:pPr>
      <w:ind w:left="1540"/>
      <w:jc w:val="left"/>
    </w:pPr>
    <w:rPr>
      <w:rFonts w:asciiTheme="minorHAnsi" w:hAnsiTheme="minorHAnsi"/>
      <w:sz w:val="20"/>
      <w:szCs w:val="20"/>
    </w:rPr>
  </w:style>
  <w:style w:type="paragraph" w:styleId="TDC9">
    <w:name w:val="toc 9"/>
    <w:basedOn w:val="Normal"/>
    <w:next w:val="Normal"/>
    <w:autoRedefine/>
    <w:uiPriority w:val="39"/>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cs="Tahoma"/>
      <w:b/>
      <w:szCs w:val="20"/>
      <w:lang w:val="es-ES_tradnl"/>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basedOn w:val="Normal"/>
    <w:uiPriority w:val="34"/>
    <w:qFormat/>
    <w:rsid w:val="006C0CF3"/>
    <w:pPr>
      <w:ind w:left="720"/>
      <w:contextualSpacing/>
    </w:pPr>
  </w:style>
  <w:style w:type="paragraph" w:styleId="Sinespaciado">
    <w:name w:val="No Spacing"/>
    <w:link w:val="SinespaciadoCar"/>
    <w:uiPriority w:val="1"/>
    <w:qFormat/>
    <w:rsid w:val="006C0CF3"/>
    <w:pPr>
      <w:jc w:val="both"/>
    </w:pPr>
    <w:rPr>
      <w:sz w:val="24"/>
      <w:szCs w:val="24"/>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cs="Tahoma"/>
      <w:b/>
      <w:sz w:val="20"/>
      <w:szCs w:val="20"/>
      <w:lang w:val="es-CO"/>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uiPriority w:val="99"/>
    <w:semiHidden/>
    <w:rsid w:val="00704BEE"/>
    <w:pPr>
      <w:jc w:val="both"/>
    </w:pPr>
    <w:rPr>
      <w:sz w:val="24"/>
      <w:szCs w:val="24"/>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uiPriority w:val="99"/>
    <w:rsid w:val="00450639"/>
    <w:pPr>
      <w:spacing w:after="120" w:line="480" w:lineRule="auto"/>
      <w:ind w:left="283"/>
    </w:pPr>
  </w:style>
  <w:style w:type="character" w:customStyle="1" w:styleId="Sangra2detindependienteCar">
    <w:name w:val="Sangría 2 de t. independiente Car"/>
    <w:link w:val="Sangra2detindependiente"/>
    <w:uiPriority w:val="99"/>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uiPriority w:val="99"/>
    <w:rsid w:val="00437A3C"/>
    <w:pPr>
      <w:ind w:left="720"/>
      <w:contextualSpacing/>
      <w:jc w:val="left"/>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jc w:val="left"/>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jc w:val="left"/>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7C5CE1"/>
    <w:rPr>
      <w:sz w:val="20"/>
      <w:szCs w:val="20"/>
    </w:rPr>
  </w:style>
  <w:style w:type="character" w:customStyle="1" w:styleId="TextonotaalfinalCar">
    <w:name w:val="Texto nota al final Car"/>
    <w:basedOn w:val="Fuentedeprrafopredeter"/>
    <w:link w:val="Textonotaalfinal"/>
    <w:uiPriority w:val="99"/>
    <w:semiHidden/>
    <w:rsid w:val="007C5CE1"/>
  </w:style>
  <w:style w:type="character" w:styleId="Refdenotaalfinal">
    <w:name w:val="endnote reference"/>
    <w:basedOn w:val="Fuentedeprrafopredeter"/>
    <w:uiPriority w:val="99"/>
    <w:semiHidden/>
    <w:unhideWhenUsed/>
    <w:rsid w:val="007C5CE1"/>
    <w:rPr>
      <w:vertAlign w:val="superscript"/>
    </w:rPr>
  </w:style>
  <w:style w:type="character" w:styleId="Hipervnculovisitado">
    <w:name w:val="FollowedHyperlink"/>
    <w:uiPriority w:val="99"/>
    <w:semiHidden/>
    <w:unhideWhenUsed/>
    <w:rsid w:val="00D6541C"/>
    <w:rPr>
      <w:color w:val="800080"/>
      <w:u w:val="single"/>
    </w:rPr>
  </w:style>
  <w:style w:type="character" w:styleId="CitaHTML">
    <w:name w:val="HTML Cite"/>
    <w:uiPriority w:val="99"/>
    <w:semiHidden/>
    <w:unhideWhenUsed/>
    <w:rsid w:val="00D6541C"/>
    <w:rPr>
      <w:i w:val="0"/>
      <w:iCs w:val="0"/>
      <w:color w:val="0E774A"/>
    </w:rPr>
  </w:style>
  <w:style w:type="paragraph" w:customStyle="1" w:styleId="msonormal0">
    <w:name w:val="msonormal"/>
    <w:basedOn w:val="Normal"/>
    <w:uiPriority w:val="99"/>
    <w:rsid w:val="00D6541C"/>
    <w:pPr>
      <w:spacing w:before="100" w:beforeAutospacing="1" w:after="100" w:afterAutospacing="1"/>
      <w:jc w:val="left"/>
    </w:pPr>
  </w:style>
  <w:style w:type="character" w:customStyle="1" w:styleId="SinespaciadoCar">
    <w:name w:val="Sin espaciado Car"/>
    <w:link w:val="Sinespaciado"/>
    <w:uiPriority w:val="1"/>
    <w:locked/>
    <w:rsid w:val="00D6541C"/>
    <w:rPr>
      <w:sz w:val="24"/>
      <w:szCs w:val="24"/>
    </w:rPr>
  </w:style>
  <w:style w:type="paragraph" w:customStyle="1" w:styleId="Estilo1">
    <w:name w:val="Estilo1"/>
    <w:basedOn w:val="Epgrafe"/>
    <w:uiPriority w:val="99"/>
    <w:rsid w:val="00D6541C"/>
    <w:pPr>
      <w:tabs>
        <w:tab w:val="clear" w:pos="0"/>
      </w:tabs>
      <w:spacing w:after="240" w:line="360" w:lineRule="auto"/>
    </w:pPr>
    <w:rPr>
      <w:rFonts w:ascii="Arial" w:hAnsi="Arial" w:cs="Times New Roman"/>
      <w:b/>
      <w:sz w:val="16"/>
      <w:szCs w:val="16"/>
      <w:lang w:val="es-MX" w:eastAsia="es-ES"/>
    </w:rPr>
  </w:style>
  <w:style w:type="paragraph" w:customStyle="1" w:styleId="Textoindepe">
    <w:name w:val="Texto indepe"/>
    <w:basedOn w:val="Normal"/>
    <w:uiPriority w:val="99"/>
    <w:rsid w:val="00D6541C"/>
    <w:pPr>
      <w:widowControl w:val="0"/>
    </w:pPr>
    <w:rPr>
      <w:szCs w:val="20"/>
      <w:lang w:val="en-US"/>
    </w:rPr>
  </w:style>
  <w:style w:type="paragraph" w:customStyle="1" w:styleId="Textoindependiente31">
    <w:name w:val="Texto independiente 31"/>
    <w:basedOn w:val="Normal"/>
    <w:uiPriority w:val="99"/>
    <w:rsid w:val="00D6541C"/>
    <w:pPr>
      <w:widowControl w:val="0"/>
    </w:pPr>
    <w:rPr>
      <w:rFonts w:ascii="Arial" w:hAnsi="Arial"/>
      <w:szCs w:val="20"/>
      <w:lang w:val="es-ES_tradnl"/>
    </w:rPr>
  </w:style>
  <w:style w:type="paragraph" w:customStyle="1" w:styleId="xl65">
    <w:name w:val="xl65"/>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66">
    <w:name w:val="xl66"/>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0"/>
      <w:szCs w:val="20"/>
      <w:lang w:val="es-CO" w:eastAsia="es-CO"/>
    </w:rPr>
  </w:style>
  <w:style w:type="paragraph" w:customStyle="1" w:styleId="xl67">
    <w:name w:val="xl67"/>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8">
    <w:name w:val="xl68"/>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9">
    <w:name w:val="xl69"/>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70">
    <w:name w:val="xl70"/>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color w:val="000000"/>
      <w:sz w:val="20"/>
      <w:szCs w:val="20"/>
      <w:lang w:val="es-CO" w:eastAsia="es-CO"/>
    </w:rPr>
  </w:style>
  <w:style w:type="paragraph" w:customStyle="1" w:styleId="xl71">
    <w:name w:val="xl71"/>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2">
    <w:name w:val="xl72"/>
    <w:basedOn w:val="Normal"/>
    <w:uiPriority w:val="99"/>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3">
    <w:name w:val="xl73"/>
    <w:basedOn w:val="Normal"/>
    <w:uiPriority w:val="99"/>
    <w:rsid w:val="00D6541C"/>
    <w:pPr>
      <w:spacing w:before="100" w:beforeAutospacing="1" w:after="100" w:afterAutospacing="1"/>
      <w:jc w:val="left"/>
    </w:pPr>
    <w:rPr>
      <w:i/>
      <w:iCs/>
      <w:lang w:val="es-CO" w:eastAsia="es-CO"/>
    </w:rPr>
  </w:style>
  <w:style w:type="paragraph" w:customStyle="1" w:styleId="dentjustb">
    <w:name w:val="dentjustb"/>
    <w:basedOn w:val="Normal"/>
    <w:uiPriority w:val="99"/>
    <w:rsid w:val="00D6541C"/>
    <w:pPr>
      <w:spacing w:before="100" w:beforeAutospacing="1" w:after="100" w:afterAutospacing="1"/>
      <w:jc w:val="left"/>
    </w:pPr>
    <w:rPr>
      <w:lang w:val="es-CO" w:eastAsia="es-CO"/>
    </w:rPr>
  </w:style>
  <w:style w:type="paragraph" w:customStyle="1" w:styleId="pequena">
    <w:name w:val="pequena"/>
    <w:basedOn w:val="Normal"/>
    <w:uiPriority w:val="99"/>
    <w:rsid w:val="00D6541C"/>
    <w:pPr>
      <w:spacing w:before="100" w:beforeAutospacing="1" w:after="100" w:afterAutospacing="1"/>
      <w:jc w:val="left"/>
    </w:pPr>
    <w:rPr>
      <w:lang w:val="es-CO" w:eastAsia="es-CO"/>
    </w:rPr>
  </w:style>
  <w:style w:type="character" w:customStyle="1" w:styleId="apple-style-span">
    <w:name w:val="apple-style-span"/>
    <w:rsid w:val="00D6541C"/>
  </w:style>
  <w:style w:type="character" w:customStyle="1" w:styleId="st1">
    <w:name w:val="st1"/>
    <w:rsid w:val="00D6541C"/>
  </w:style>
  <w:style w:type="character" w:customStyle="1" w:styleId="gl3">
    <w:name w:val="gl3"/>
    <w:basedOn w:val="Fuentedeprrafopredeter"/>
    <w:rsid w:val="00D6541C"/>
  </w:style>
  <w:style w:type="table" w:styleId="Sombreadoclaro-nfasis3">
    <w:name w:val="Light Shading Accent 3"/>
    <w:basedOn w:val="Tablanormal"/>
    <w:uiPriority w:val="60"/>
    <w:semiHidden/>
    <w:unhideWhenUsed/>
    <w:rsid w:val="00D6541C"/>
    <w:rPr>
      <w:rFonts w:ascii="Calibri" w:eastAsia="Calibri" w:hAnsi="Calibri"/>
      <w:color w:val="76923C"/>
      <w:lang w:val="es-ES_tradnl" w:eastAsia="es-ES_tradnl"/>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semiHidden/>
    <w:unhideWhenUsed/>
    <w:rsid w:val="00D6541C"/>
    <w:rPr>
      <w:rFonts w:ascii="Calibri" w:eastAsia="Calibri" w:hAnsi="Calibri"/>
      <w:color w:val="31849B"/>
      <w:lang w:val="es-ES_tradnl" w:eastAsia="es-ES_tradnl"/>
    </w:rPr>
    <w:tblPr>
      <w:tblStyleRowBandSize w:val="1"/>
      <w:tblStyleColBandSize w:val="1"/>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ombreadomedio2-nfasis5">
    <w:name w:val="Medium Shading 2 Accent 5"/>
    <w:basedOn w:val="Tablanormal"/>
    <w:uiPriority w:val="64"/>
    <w:semiHidden/>
    <w:unhideWhenUsed/>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1-nfasis6">
    <w:name w:val="Medium List 1 Accent 6"/>
    <w:basedOn w:val="Tablanormal"/>
    <w:uiPriority w:val="65"/>
    <w:semiHidden/>
    <w:unhideWhenUsed/>
    <w:rsid w:val="00D6541C"/>
    <w:rPr>
      <w:rFonts w:ascii="Calibri" w:eastAsia="Calibri" w:hAnsi="Calibri"/>
      <w:color w:val="000000"/>
      <w:lang w:val="es-ES_tradnl" w:eastAsia="es-ES_tradnl"/>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hint="eastAsia"/>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claro1">
    <w:name w:val="Sombreado claro1"/>
    <w:basedOn w:val="Tablanormal"/>
    <w:uiPriority w:val="60"/>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uadrculaclara1">
    <w:name w:val="Cuadrícula clara1"/>
    <w:basedOn w:val="Tablanormal"/>
    <w:uiPriority w:val="62"/>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6541C"/>
    <w:rPr>
      <w:rFonts w:ascii="Cambria" w:hAnsi="Cambria" w:cs="Calibri"/>
      <w:color w:val="000000"/>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Sombreadomedio21">
    <w:name w:val="Sombreado medio 21"/>
    <w:basedOn w:val="Tablanormal"/>
    <w:uiPriority w:val="64"/>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6541C"/>
    <w:rPr>
      <w:rFonts w:ascii="Calibri" w:eastAsia="Calibri" w:hAnsi="Calibri"/>
      <w:color w:val="000000"/>
      <w:lang w:val="es-ES_tradnl" w:eastAsia="es-ES_tradnl"/>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6541C"/>
    <w:rPr>
      <w:rFonts w:ascii="Calibri" w:eastAsia="Calibri" w:hAnsi="Calibri"/>
      <w:color w:val="000000"/>
      <w:lang w:val="es-ES_tradnl" w:eastAsia="es-ES_tradnl"/>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hint="eastAsia"/>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6541C"/>
    <w:rPr>
      <w:rFonts w:ascii="Calibri" w:eastAsia="Calibri" w:hAnsi="Calibri"/>
      <w:lang w:val="es-ES_tradnl" w:eastAsia="es-ES_tradnl"/>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Lines="0" w:before="0" w:beforeAutospacing="0" w:afterLines="0" w:after="0" w:afterAutospacing="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customStyle="1" w:styleId="Normal1">
    <w:name w:val="Normal1"/>
    <w:basedOn w:val="Normal"/>
    <w:rsid w:val="00D6541C"/>
    <w:rPr>
      <w:rFonts w:ascii="Arial" w:hAnsi="Arial"/>
      <w:szCs w:val="20"/>
      <w:lang w:val="es-ES_tradnl" w:eastAsia="es-ES_tradnl"/>
    </w:rPr>
  </w:style>
  <w:style w:type="paragraph" w:customStyle="1" w:styleId="DescripcindeFuente">
    <w:name w:val="Descripción de Fuente"/>
    <w:basedOn w:val="TDC1"/>
    <w:next w:val="Epgrafe"/>
    <w:rsid w:val="00D6541C"/>
    <w:pPr>
      <w:jc w:val="right"/>
    </w:pPr>
    <w:rPr>
      <w:rFonts w:ascii="Arial" w:hAnsi="Arial"/>
      <w:b w:val="0"/>
      <w:bCs w:val="0"/>
      <w:i w:val="0"/>
      <w:caps/>
      <w:sz w:val="20"/>
      <w:szCs w:val="20"/>
      <w:lang w:val="es-ES_tradnl" w:eastAsia="es-ES_tradnl"/>
    </w:rPr>
  </w:style>
  <w:style w:type="paragraph" w:customStyle="1" w:styleId="normal2">
    <w:name w:val="normal2"/>
    <w:basedOn w:val="Normal1"/>
    <w:rsid w:val="00D6541C"/>
    <w:rPr>
      <w:lang w:val="es-ES"/>
    </w:rPr>
  </w:style>
  <w:style w:type="character" w:customStyle="1" w:styleId="Mencinsinresolver1">
    <w:name w:val="Mención sin resolver1"/>
    <w:basedOn w:val="Fuentedeprrafopredeter"/>
    <w:uiPriority w:val="99"/>
    <w:semiHidden/>
    <w:unhideWhenUsed/>
    <w:rsid w:val="00D6541C"/>
    <w:rPr>
      <w:color w:val="605E5C"/>
      <w:shd w:val="clear" w:color="auto" w:fill="E1DFDD"/>
    </w:rPr>
  </w:style>
  <w:style w:type="paragraph" w:customStyle="1" w:styleId="TabTitAdentro">
    <w:name w:val="TabTitAdentro"/>
    <w:basedOn w:val="Normal"/>
    <w:rsid w:val="00D6541C"/>
    <w:pPr>
      <w:spacing w:before="120" w:after="120"/>
      <w:jc w:val="center"/>
    </w:pPr>
    <w:rPr>
      <w:rFonts w:ascii="Verdana" w:hAnsi="Verdana"/>
      <w:b/>
      <w:sz w:val="20"/>
      <w:szCs w:val="20"/>
      <w:lang w:val="es-CO" w:eastAsia="es-ES_tradnl"/>
    </w:rPr>
  </w:style>
  <w:style w:type="paragraph" w:customStyle="1" w:styleId="Fuente">
    <w:name w:val="Fuente"/>
    <w:basedOn w:val="Normal"/>
    <w:next w:val="Normal"/>
    <w:rsid w:val="00D6541C"/>
    <w:pPr>
      <w:numPr>
        <w:numId w:val="14"/>
      </w:numPr>
      <w:spacing w:before="120" w:after="120"/>
    </w:pPr>
    <w:rPr>
      <w:rFonts w:ascii="Verdana" w:hAnsi="Verdana"/>
      <w:sz w:val="18"/>
      <w:szCs w:val="20"/>
      <w:lang w:val="es-CO" w:eastAsia="es-ES_tradnl"/>
    </w:rPr>
  </w:style>
  <w:style w:type="paragraph" w:customStyle="1" w:styleId="ListadeTablas">
    <w:name w:val="Lista de Tablas"/>
    <w:basedOn w:val="Normal"/>
    <w:autoRedefine/>
    <w:rsid w:val="00D6541C"/>
    <w:pPr>
      <w:widowControl w:val="0"/>
      <w:tabs>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line="360" w:lineRule="auto"/>
      <w:jc w:val="center"/>
    </w:pPr>
    <w:rPr>
      <w:rFonts w:ascii="Arial" w:hAnsi="Arial" w:cs="Arial"/>
      <w:snapToGrid w:val="0"/>
      <w:sz w:val="18"/>
      <w:szCs w:val="18"/>
      <w:lang w:val="es-CO" w:eastAsia="es-ES_tradnl"/>
    </w:rPr>
  </w:style>
  <w:style w:type="paragraph" w:customStyle="1" w:styleId="FormatodeTablas">
    <w:name w:val="Formato de Tablas"/>
    <w:basedOn w:val="Ttulo5"/>
    <w:autoRedefine/>
    <w:rsid w:val="00D6541C"/>
    <w:pPr>
      <w:keepNext/>
      <w:tabs>
        <w:tab w:val="clear" w:pos="1008"/>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before="0" w:after="0"/>
      <w:ind w:left="0" w:firstLine="0"/>
      <w:contextualSpacing/>
      <w:jc w:val="center"/>
    </w:pPr>
    <w:rPr>
      <w:rFonts w:ascii="Tahoma" w:hAnsi="Tahoma"/>
      <w:snapToGrid w:val="0"/>
      <w:sz w:val="16"/>
      <w:lang w:eastAsia="es-ES_tradnl"/>
    </w:rPr>
  </w:style>
  <w:style w:type="paragraph" w:styleId="TtulodeTDC">
    <w:name w:val="TOC Heading"/>
    <w:basedOn w:val="Ttulo1"/>
    <w:next w:val="Normal"/>
    <w:uiPriority w:val="39"/>
    <w:unhideWhenUsed/>
    <w:qFormat/>
    <w:rsid w:val="00D6541C"/>
    <w:pPr>
      <w:keepLines/>
      <w:spacing w:after="0" w:line="259" w:lineRule="auto"/>
      <w:jc w:val="left"/>
      <w:outlineLvl w:val="9"/>
    </w:pPr>
    <w:rPr>
      <w:rFonts w:asciiTheme="majorHAnsi" w:eastAsiaTheme="majorEastAsia" w:hAnsiTheme="majorHAnsi" w:cstheme="majorBidi"/>
      <w:bCs w:val="0"/>
      <w:color w:val="365F91" w:themeColor="accent1" w:themeShade="BF"/>
      <w:kern w:val="0"/>
      <w:lang w:val="es-ES_tradnl" w:eastAsia="es-ES_tradnl"/>
    </w:rPr>
  </w:style>
  <w:style w:type="character" w:customStyle="1" w:styleId="name">
    <w:name w:val="name"/>
    <w:basedOn w:val="Fuentedeprrafopredeter"/>
    <w:rsid w:val="009F248F"/>
  </w:style>
  <w:style w:type="character" w:customStyle="1" w:styleId="authorship">
    <w:name w:val="authorship"/>
    <w:basedOn w:val="Fuentedeprrafopredeter"/>
    <w:rsid w:val="009F248F"/>
  </w:style>
  <w:style w:type="character" w:customStyle="1" w:styleId="Subttulo1">
    <w:name w:val="Subtítulo1"/>
    <w:basedOn w:val="Fuentedeprrafopredeter"/>
    <w:rsid w:val="009F24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sChild>
        <w:div w:id="5">
          <w:marLeft w:val="547"/>
          <w:marRight w:val="0"/>
          <w:marTop w:val="86"/>
          <w:marBottom w:val="0"/>
          <w:divBdr>
            <w:top w:val="none" w:sz="0" w:space="0" w:color="auto"/>
            <w:left w:val="none" w:sz="0" w:space="0" w:color="auto"/>
            <w:bottom w:val="none" w:sz="0" w:space="0" w:color="auto"/>
            <w:right w:val="none" w:sz="0" w:space="0" w:color="auto"/>
          </w:divBdr>
        </w:div>
        <w:div w:id="30">
          <w:marLeft w:val="547"/>
          <w:marRight w:val="0"/>
          <w:marTop w:val="86"/>
          <w:marBottom w:val="0"/>
          <w:divBdr>
            <w:top w:val="none" w:sz="0" w:space="0" w:color="auto"/>
            <w:left w:val="none" w:sz="0" w:space="0" w:color="auto"/>
            <w:bottom w:val="none" w:sz="0" w:space="0" w:color="auto"/>
            <w:right w:val="none" w:sz="0" w:space="0" w:color="auto"/>
          </w:divBdr>
        </w:div>
        <w:div w:id="31">
          <w:marLeft w:val="547"/>
          <w:marRight w:val="0"/>
          <w:marTop w:val="86"/>
          <w:marBottom w:val="0"/>
          <w:divBdr>
            <w:top w:val="none" w:sz="0" w:space="0" w:color="auto"/>
            <w:left w:val="none" w:sz="0" w:space="0" w:color="auto"/>
            <w:bottom w:val="none" w:sz="0" w:space="0" w:color="auto"/>
            <w:right w:val="none" w:sz="0" w:space="0" w:color="auto"/>
          </w:divBdr>
        </w:div>
        <w:div w:id="48">
          <w:marLeft w:val="547"/>
          <w:marRight w:val="0"/>
          <w:marTop w:val="86"/>
          <w:marBottom w:val="0"/>
          <w:divBdr>
            <w:top w:val="none" w:sz="0" w:space="0" w:color="auto"/>
            <w:left w:val="none" w:sz="0" w:space="0" w:color="auto"/>
            <w:bottom w:val="none" w:sz="0" w:space="0" w:color="auto"/>
            <w:right w:val="none" w:sz="0" w:space="0" w:color="auto"/>
          </w:divBdr>
        </w:div>
        <w:div w:id="51">
          <w:marLeft w:val="547"/>
          <w:marRight w:val="0"/>
          <w:marTop w:val="86"/>
          <w:marBottom w:val="0"/>
          <w:divBdr>
            <w:top w:val="none" w:sz="0" w:space="0" w:color="auto"/>
            <w:left w:val="none" w:sz="0" w:space="0" w:color="auto"/>
            <w:bottom w:val="none" w:sz="0" w:space="0" w:color="auto"/>
            <w:right w:val="none" w:sz="0" w:space="0" w:color="auto"/>
          </w:divBdr>
        </w:div>
        <w:div w:id="53">
          <w:marLeft w:val="547"/>
          <w:marRight w:val="0"/>
          <w:marTop w:val="86"/>
          <w:marBottom w:val="0"/>
          <w:divBdr>
            <w:top w:val="none" w:sz="0" w:space="0" w:color="auto"/>
            <w:left w:val="none" w:sz="0" w:space="0" w:color="auto"/>
            <w:bottom w:val="none" w:sz="0" w:space="0" w:color="auto"/>
            <w:right w:val="none" w:sz="0" w:space="0" w:color="auto"/>
          </w:divBdr>
        </w:div>
        <w:div w:id="70">
          <w:marLeft w:val="547"/>
          <w:marRight w:val="0"/>
          <w:marTop w:val="86"/>
          <w:marBottom w:val="0"/>
          <w:divBdr>
            <w:top w:val="none" w:sz="0" w:space="0" w:color="auto"/>
            <w:left w:val="none" w:sz="0" w:space="0" w:color="auto"/>
            <w:bottom w:val="none" w:sz="0" w:space="0" w:color="auto"/>
            <w:right w:val="none" w:sz="0" w:space="0" w:color="auto"/>
          </w:divBdr>
        </w:div>
      </w:divsChild>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sChild>
        <w:div w:id="8">
          <w:marLeft w:val="547"/>
          <w:marRight w:val="0"/>
          <w:marTop w:val="19"/>
          <w:marBottom w:val="0"/>
          <w:divBdr>
            <w:top w:val="none" w:sz="0" w:space="0" w:color="auto"/>
            <w:left w:val="none" w:sz="0" w:space="0" w:color="auto"/>
            <w:bottom w:val="none" w:sz="0" w:space="0" w:color="auto"/>
            <w:right w:val="none" w:sz="0" w:space="0" w:color="auto"/>
          </w:divBdr>
        </w:div>
        <w:div w:id="11">
          <w:marLeft w:val="547"/>
          <w:marRight w:val="0"/>
          <w:marTop w:val="19"/>
          <w:marBottom w:val="0"/>
          <w:divBdr>
            <w:top w:val="none" w:sz="0" w:space="0" w:color="auto"/>
            <w:left w:val="none" w:sz="0" w:space="0" w:color="auto"/>
            <w:bottom w:val="none" w:sz="0" w:space="0" w:color="auto"/>
            <w:right w:val="none" w:sz="0" w:space="0" w:color="auto"/>
          </w:divBdr>
        </w:div>
        <w:div w:id="13">
          <w:marLeft w:val="547"/>
          <w:marRight w:val="0"/>
          <w:marTop w:val="19"/>
          <w:marBottom w:val="0"/>
          <w:divBdr>
            <w:top w:val="none" w:sz="0" w:space="0" w:color="auto"/>
            <w:left w:val="none" w:sz="0" w:space="0" w:color="auto"/>
            <w:bottom w:val="none" w:sz="0" w:space="0" w:color="auto"/>
            <w:right w:val="none" w:sz="0" w:space="0" w:color="auto"/>
          </w:divBdr>
        </w:div>
        <w:div w:id="21">
          <w:marLeft w:val="547"/>
          <w:marRight w:val="0"/>
          <w:marTop w:val="19"/>
          <w:marBottom w:val="0"/>
          <w:divBdr>
            <w:top w:val="none" w:sz="0" w:space="0" w:color="auto"/>
            <w:left w:val="none" w:sz="0" w:space="0" w:color="auto"/>
            <w:bottom w:val="none" w:sz="0" w:space="0" w:color="auto"/>
            <w:right w:val="none" w:sz="0" w:space="0" w:color="auto"/>
          </w:divBdr>
        </w:div>
        <w:div w:id="29">
          <w:marLeft w:val="547"/>
          <w:marRight w:val="0"/>
          <w:marTop w:val="19"/>
          <w:marBottom w:val="0"/>
          <w:divBdr>
            <w:top w:val="none" w:sz="0" w:space="0" w:color="auto"/>
            <w:left w:val="none" w:sz="0" w:space="0" w:color="auto"/>
            <w:bottom w:val="none" w:sz="0" w:space="0" w:color="auto"/>
            <w:right w:val="none" w:sz="0" w:space="0" w:color="auto"/>
          </w:divBdr>
        </w:div>
        <w:div w:id="40">
          <w:marLeft w:val="547"/>
          <w:marRight w:val="0"/>
          <w:marTop w:val="19"/>
          <w:marBottom w:val="0"/>
          <w:divBdr>
            <w:top w:val="none" w:sz="0" w:space="0" w:color="auto"/>
            <w:left w:val="none" w:sz="0" w:space="0" w:color="auto"/>
            <w:bottom w:val="none" w:sz="0" w:space="0" w:color="auto"/>
            <w:right w:val="none" w:sz="0" w:space="0" w:color="auto"/>
          </w:divBdr>
        </w:div>
        <w:div w:id="42">
          <w:marLeft w:val="547"/>
          <w:marRight w:val="0"/>
          <w:marTop w:val="19"/>
          <w:marBottom w:val="0"/>
          <w:divBdr>
            <w:top w:val="none" w:sz="0" w:space="0" w:color="auto"/>
            <w:left w:val="none" w:sz="0" w:space="0" w:color="auto"/>
            <w:bottom w:val="none" w:sz="0" w:space="0" w:color="auto"/>
            <w:right w:val="none" w:sz="0" w:space="0" w:color="auto"/>
          </w:divBdr>
        </w:div>
        <w:div w:id="43">
          <w:marLeft w:val="547"/>
          <w:marRight w:val="0"/>
          <w:marTop w:val="19"/>
          <w:marBottom w:val="0"/>
          <w:divBdr>
            <w:top w:val="none" w:sz="0" w:space="0" w:color="auto"/>
            <w:left w:val="none" w:sz="0" w:space="0" w:color="auto"/>
            <w:bottom w:val="none" w:sz="0" w:space="0" w:color="auto"/>
            <w:right w:val="none" w:sz="0" w:space="0" w:color="auto"/>
          </w:divBdr>
        </w:div>
        <w:div w:id="46">
          <w:marLeft w:val="547"/>
          <w:marRight w:val="0"/>
          <w:marTop w:val="19"/>
          <w:marBottom w:val="0"/>
          <w:divBdr>
            <w:top w:val="none" w:sz="0" w:space="0" w:color="auto"/>
            <w:left w:val="none" w:sz="0" w:space="0" w:color="auto"/>
            <w:bottom w:val="none" w:sz="0" w:space="0" w:color="auto"/>
            <w:right w:val="none" w:sz="0" w:space="0" w:color="auto"/>
          </w:divBdr>
        </w:div>
        <w:div w:id="66">
          <w:marLeft w:val="547"/>
          <w:marRight w:val="0"/>
          <w:marTop w:val="19"/>
          <w:marBottom w:val="0"/>
          <w:divBdr>
            <w:top w:val="none" w:sz="0" w:space="0" w:color="auto"/>
            <w:left w:val="none" w:sz="0" w:space="0" w:color="auto"/>
            <w:bottom w:val="none" w:sz="0" w:space="0" w:color="auto"/>
            <w:right w:val="none" w:sz="0" w:space="0" w:color="auto"/>
          </w:divBdr>
        </w:div>
        <w:div w:id="69">
          <w:marLeft w:val="547"/>
          <w:marRight w:val="0"/>
          <w:marTop w:val="19"/>
          <w:marBottom w:val="0"/>
          <w:divBdr>
            <w:top w:val="none" w:sz="0" w:space="0" w:color="auto"/>
            <w:left w:val="none" w:sz="0" w:space="0" w:color="auto"/>
            <w:bottom w:val="none" w:sz="0" w:space="0" w:color="auto"/>
            <w:right w:val="none" w:sz="0" w:space="0" w:color="auto"/>
          </w:divBdr>
        </w:div>
      </w:divsChild>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sChild>
        <w:div w:id="1">
          <w:marLeft w:val="562"/>
          <w:marRight w:val="0"/>
          <w:marTop w:val="0"/>
          <w:marBottom w:val="0"/>
          <w:divBdr>
            <w:top w:val="none" w:sz="0" w:space="0" w:color="auto"/>
            <w:left w:val="none" w:sz="0" w:space="0" w:color="auto"/>
            <w:bottom w:val="none" w:sz="0" w:space="0" w:color="auto"/>
            <w:right w:val="none" w:sz="0" w:space="0" w:color="auto"/>
          </w:divBdr>
        </w:div>
        <w:div w:id="2">
          <w:marLeft w:val="562"/>
          <w:marRight w:val="0"/>
          <w:marTop w:val="0"/>
          <w:marBottom w:val="0"/>
          <w:divBdr>
            <w:top w:val="none" w:sz="0" w:space="0" w:color="auto"/>
            <w:left w:val="none" w:sz="0" w:space="0" w:color="auto"/>
            <w:bottom w:val="none" w:sz="0" w:space="0" w:color="auto"/>
            <w:right w:val="none" w:sz="0" w:space="0" w:color="auto"/>
          </w:divBdr>
        </w:div>
        <w:div w:id="12">
          <w:marLeft w:val="562"/>
          <w:marRight w:val="0"/>
          <w:marTop w:val="0"/>
          <w:marBottom w:val="0"/>
          <w:divBdr>
            <w:top w:val="none" w:sz="0" w:space="0" w:color="auto"/>
            <w:left w:val="none" w:sz="0" w:space="0" w:color="auto"/>
            <w:bottom w:val="none" w:sz="0" w:space="0" w:color="auto"/>
            <w:right w:val="none" w:sz="0" w:space="0" w:color="auto"/>
          </w:divBdr>
        </w:div>
        <w:div w:id="17">
          <w:marLeft w:val="562"/>
          <w:marRight w:val="0"/>
          <w:marTop w:val="0"/>
          <w:marBottom w:val="0"/>
          <w:divBdr>
            <w:top w:val="none" w:sz="0" w:space="0" w:color="auto"/>
            <w:left w:val="none" w:sz="0" w:space="0" w:color="auto"/>
            <w:bottom w:val="none" w:sz="0" w:space="0" w:color="auto"/>
            <w:right w:val="none" w:sz="0" w:space="0" w:color="auto"/>
          </w:divBdr>
        </w:div>
        <w:div w:id="27">
          <w:marLeft w:val="562"/>
          <w:marRight w:val="0"/>
          <w:marTop w:val="0"/>
          <w:marBottom w:val="0"/>
          <w:divBdr>
            <w:top w:val="none" w:sz="0" w:space="0" w:color="auto"/>
            <w:left w:val="none" w:sz="0" w:space="0" w:color="auto"/>
            <w:bottom w:val="none" w:sz="0" w:space="0" w:color="auto"/>
            <w:right w:val="none" w:sz="0" w:space="0" w:color="auto"/>
          </w:divBdr>
        </w:div>
        <w:div w:id="36">
          <w:marLeft w:val="562"/>
          <w:marRight w:val="0"/>
          <w:marTop w:val="0"/>
          <w:marBottom w:val="0"/>
          <w:divBdr>
            <w:top w:val="none" w:sz="0" w:space="0" w:color="auto"/>
            <w:left w:val="none" w:sz="0" w:space="0" w:color="auto"/>
            <w:bottom w:val="none" w:sz="0" w:space="0" w:color="auto"/>
            <w:right w:val="none" w:sz="0" w:space="0" w:color="auto"/>
          </w:divBdr>
        </w:div>
        <w:div w:id="38">
          <w:marLeft w:val="562"/>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sChild>
        <w:div w:id="4">
          <w:marLeft w:val="562"/>
          <w:marRight w:val="0"/>
          <w:marTop w:val="22"/>
          <w:marBottom w:val="0"/>
          <w:divBdr>
            <w:top w:val="none" w:sz="0" w:space="0" w:color="auto"/>
            <w:left w:val="none" w:sz="0" w:space="0" w:color="auto"/>
            <w:bottom w:val="none" w:sz="0" w:space="0" w:color="auto"/>
            <w:right w:val="none" w:sz="0" w:space="0" w:color="auto"/>
          </w:divBdr>
        </w:div>
        <w:div w:id="6">
          <w:marLeft w:val="562"/>
          <w:marRight w:val="0"/>
          <w:marTop w:val="22"/>
          <w:marBottom w:val="0"/>
          <w:divBdr>
            <w:top w:val="none" w:sz="0" w:space="0" w:color="auto"/>
            <w:left w:val="none" w:sz="0" w:space="0" w:color="auto"/>
            <w:bottom w:val="none" w:sz="0" w:space="0" w:color="auto"/>
            <w:right w:val="none" w:sz="0" w:space="0" w:color="auto"/>
          </w:divBdr>
        </w:div>
        <w:div w:id="20">
          <w:marLeft w:val="562"/>
          <w:marRight w:val="0"/>
          <w:marTop w:val="22"/>
          <w:marBottom w:val="0"/>
          <w:divBdr>
            <w:top w:val="none" w:sz="0" w:space="0" w:color="auto"/>
            <w:left w:val="none" w:sz="0" w:space="0" w:color="auto"/>
            <w:bottom w:val="none" w:sz="0" w:space="0" w:color="auto"/>
            <w:right w:val="none" w:sz="0" w:space="0" w:color="auto"/>
          </w:divBdr>
        </w:div>
        <w:div w:id="22">
          <w:marLeft w:val="562"/>
          <w:marRight w:val="0"/>
          <w:marTop w:val="22"/>
          <w:marBottom w:val="0"/>
          <w:divBdr>
            <w:top w:val="none" w:sz="0" w:space="0" w:color="auto"/>
            <w:left w:val="none" w:sz="0" w:space="0" w:color="auto"/>
            <w:bottom w:val="none" w:sz="0" w:space="0" w:color="auto"/>
            <w:right w:val="none" w:sz="0" w:space="0" w:color="auto"/>
          </w:divBdr>
        </w:div>
        <w:div w:id="39">
          <w:marLeft w:val="562"/>
          <w:marRight w:val="0"/>
          <w:marTop w:val="22"/>
          <w:marBottom w:val="0"/>
          <w:divBdr>
            <w:top w:val="none" w:sz="0" w:space="0" w:color="auto"/>
            <w:left w:val="none" w:sz="0" w:space="0" w:color="auto"/>
            <w:bottom w:val="none" w:sz="0" w:space="0" w:color="auto"/>
            <w:right w:val="none" w:sz="0" w:space="0" w:color="auto"/>
          </w:divBdr>
        </w:div>
        <w:div w:id="54">
          <w:marLeft w:val="562"/>
          <w:marRight w:val="0"/>
          <w:marTop w:val="22"/>
          <w:marBottom w:val="0"/>
          <w:divBdr>
            <w:top w:val="none" w:sz="0" w:space="0" w:color="auto"/>
            <w:left w:val="none" w:sz="0" w:space="0" w:color="auto"/>
            <w:bottom w:val="none" w:sz="0" w:space="0" w:color="auto"/>
            <w:right w:val="none" w:sz="0" w:space="0" w:color="auto"/>
          </w:divBdr>
        </w:div>
        <w:div w:id="56">
          <w:marLeft w:val="562"/>
          <w:marRight w:val="0"/>
          <w:marTop w:val="22"/>
          <w:marBottom w:val="0"/>
          <w:divBdr>
            <w:top w:val="none" w:sz="0" w:space="0" w:color="auto"/>
            <w:left w:val="none" w:sz="0" w:space="0" w:color="auto"/>
            <w:bottom w:val="none" w:sz="0" w:space="0" w:color="auto"/>
            <w:right w:val="none" w:sz="0" w:space="0" w:color="auto"/>
          </w:divBdr>
        </w:div>
        <w:div w:id="58">
          <w:marLeft w:val="562"/>
          <w:marRight w:val="0"/>
          <w:marTop w:val="22"/>
          <w:marBottom w:val="0"/>
          <w:divBdr>
            <w:top w:val="none" w:sz="0" w:space="0" w:color="auto"/>
            <w:left w:val="none" w:sz="0" w:space="0" w:color="auto"/>
            <w:bottom w:val="none" w:sz="0" w:space="0" w:color="auto"/>
            <w:right w:val="none" w:sz="0" w:space="0" w:color="auto"/>
          </w:divBdr>
        </w:div>
      </w:divsChild>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9">
          <w:marLeft w:val="302"/>
          <w:marRight w:val="0"/>
          <w:marTop w:val="0"/>
          <w:marBottom w:val="0"/>
          <w:divBdr>
            <w:top w:val="none" w:sz="0" w:space="0" w:color="auto"/>
            <w:left w:val="none" w:sz="0" w:space="0" w:color="auto"/>
            <w:bottom w:val="none" w:sz="0" w:space="0" w:color="auto"/>
            <w:right w:val="none" w:sz="0" w:space="0" w:color="auto"/>
          </w:divBdr>
        </w:div>
        <w:div w:id="32">
          <w:marLeft w:val="302"/>
          <w:marRight w:val="0"/>
          <w:marTop w:val="0"/>
          <w:marBottom w:val="0"/>
          <w:divBdr>
            <w:top w:val="none" w:sz="0" w:space="0" w:color="auto"/>
            <w:left w:val="none" w:sz="0" w:space="0" w:color="auto"/>
            <w:bottom w:val="none" w:sz="0" w:space="0" w:color="auto"/>
            <w:right w:val="none" w:sz="0" w:space="0" w:color="auto"/>
          </w:divBdr>
        </w:div>
        <w:div w:id="45">
          <w:marLeft w:val="302"/>
          <w:marRight w:val="0"/>
          <w:marTop w:val="0"/>
          <w:marBottom w:val="0"/>
          <w:divBdr>
            <w:top w:val="none" w:sz="0" w:space="0" w:color="auto"/>
            <w:left w:val="none" w:sz="0" w:space="0" w:color="auto"/>
            <w:bottom w:val="none" w:sz="0" w:space="0" w:color="auto"/>
            <w:right w:val="none" w:sz="0" w:space="0" w:color="auto"/>
          </w:divBdr>
        </w:div>
        <w:div w:id="47">
          <w:marLeft w:val="302"/>
          <w:marRight w:val="0"/>
          <w:marTop w:val="0"/>
          <w:marBottom w:val="0"/>
          <w:divBdr>
            <w:top w:val="none" w:sz="0" w:space="0" w:color="auto"/>
            <w:left w:val="none" w:sz="0" w:space="0" w:color="auto"/>
            <w:bottom w:val="none" w:sz="0" w:space="0" w:color="auto"/>
            <w:right w:val="none" w:sz="0" w:space="0" w:color="auto"/>
          </w:divBdr>
        </w:div>
      </w:divsChild>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14160310">
      <w:bodyDiv w:val="1"/>
      <w:marLeft w:val="0"/>
      <w:marRight w:val="0"/>
      <w:marTop w:val="0"/>
      <w:marBottom w:val="0"/>
      <w:divBdr>
        <w:top w:val="none" w:sz="0" w:space="0" w:color="auto"/>
        <w:left w:val="none" w:sz="0" w:space="0" w:color="auto"/>
        <w:bottom w:val="none" w:sz="0" w:space="0" w:color="auto"/>
        <w:right w:val="none" w:sz="0" w:space="0" w:color="auto"/>
      </w:divBdr>
    </w:div>
    <w:div w:id="46223084">
      <w:bodyDiv w:val="1"/>
      <w:marLeft w:val="0"/>
      <w:marRight w:val="0"/>
      <w:marTop w:val="0"/>
      <w:marBottom w:val="0"/>
      <w:divBdr>
        <w:top w:val="none" w:sz="0" w:space="0" w:color="auto"/>
        <w:left w:val="none" w:sz="0" w:space="0" w:color="auto"/>
        <w:bottom w:val="none" w:sz="0" w:space="0" w:color="auto"/>
        <w:right w:val="none" w:sz="0" w:space="0" w:color="auto"/>
      </w:divBdr>
    </w:div>
    <w:div w:id="63652392">
      <w:bodyDiv w:val="1"/>
      <w:marLeft w:val="0"/>
      <w:marRight w:val="0"/>
      <w:marTop w:val="0"/>
      <w:marBottom w:val="0"/>
      <w:divBdr>
        <w:top w:val="none" w:sz="0" w:space="0" w:color="auto"/>
        <w:left w:val="none" w:sz="0" w:space="0" w:color="auto"/>
        <w:bottom w:val="none" w:sz="0" w:space="0" w:color="auto"/>
        <w:right w:val="none" w:sz="0" w:space="0" w:color="auto"/>
      </w:divBdr>
    </w:div>
    <w:div w:id="107817188">
      <w:bodyDiv w:val="1"/>
      <w:marLeft w:val="0"/>
      <w:marRight w:val="0"/>
      <w:marTop w:val="0"/>
      <w:marBottom w:val="0"/>
      <w:divBdr>
        <w:top w:val="none" w:sz="0" w:space="0" w:color="auto"/>
        <w:left w:val="none" w:sz="0" w:space="0" w:color="auto"/>
        <w:bottom w:val="none" w:sz="0" w:space="0" w:color="auto"/>
        <w:right w:val="none" w:sz="0" w:space="0" w:color="auto"/>
      </w:divBdr>
      <w:divsChild>
        <w:div w:id="1884829209">
          <w:marLeft w:val="547"/>
          <w:marRight w:val="0"/>
          <w:marTop w:val="0"/>
          <w:marBottom w:val="0"/>
          <w:divBdr>
            <w:top w:val="none" w:sz="0" w:space="0" w:color="auto"/>
            <w:left w:val="none" w:sz="0" w:space="0" w:color="auto"/>
            <w:bottom w:val="none" w:sz="0" w:space="0" w:color="auto"/>
            <w:right w:val="none" w:sz="0" w:space="0" w:color="auto"/>
          </w:divBdr>
        </w:div>
      </w:divsChild>
    </w:div>
    <w:div w:id="231619743">
      <w:bodyDiv w:val="1"/>
      <w:marLeft w:val="0"/>
      <w:marRight w:val="0"/>
      <w:marTop w:val="0"/>
      <w:marBottom w:val="0"/>
      <w:divBdr>
        <w:top w:val="none" w:sz="0" w:space="0" w:color="auto"/>
        <w:left w:val="none" w:sz="0" w:space="0" w:color="auto"/>
        <w:bottom w:val="none" w:sz="0" w:space="0" w:color="auto"/>
        <w:right w:val="none" w:sz="0" w:space="0" w:color="auto"/>
      </w:divBdr>
      <w:divsChild>
        <w:div w:id="1657105998">
          <w:marLeft w:val="547"/>
          <w:marRight w:val="0"/>
          <w:marTop w:val="0"/>
          <w:marBottom w:val="0"/>
          <w:divBdr>
            <w:top w:val="none" w:sz="0" w:space="0" w:color="auto"/>
            <w:left w:val="none" w:sz="0" w:space="0" w:color="auto"/>
            <w:bottom w:val="none" w:sz="0" w:space="0" w:color="auto"/>
            <w:right w:val="none" w:sz="0" w:space="0" w:color="auto"/>
          </w:divBdr>
        </w:div>
        <w:div w:id="1754469697">
          <w:marLeft w:val="547"/>
          <w:marRight w:val="0"/>
          <w:marTop w:val="0"/>
          <w:marBottom w:val="0"/>
          <w:divBdr>
            <w:top w:val="none" w:sz="0" w:space="0" w:color="auto"/>
            <w:left w:val="none" w:sz="0" w:space="0" w:color="auto"/>
            <w:bottom w:val="none" w:sz="0" w:space="0" w:color="auto"/>
            <w:right w:val="none" w:sz="0" w:space="0" w:color="auto"/>
          </w:divBdr>
        </w:div>
        <w:div w:id="303655650">
          <w:marLeft w:val="547"/>
          <w:marRight w:val="0"/>
          <w:marTop w:val="0"/>
          <w:marBottom w:val="0"/>
          <w:divBdr>
            <w:top w:val="none" w:sz="0" w:space="0" w:color="auto"/>
            <w:left w:val="none" w:sz="0" w:space="0" w:color="auto"/>
            <w:bottom w:val="none" w:sz="0" w:space="0" w:color="auto"/>
            <w:right w:val="none" w:sz="0" w:space="0" w:color="auto"/>
          </w:divBdr>
        </w:div>
      </w:divsChild>
    </w:div>
    <w:div w:id="393897026">
      <w:bodyDiv w:val="1"/>
      <w:marLeft w:val="0"/>
      <w:marRight w:val="0"/>
      <w:marTop w:val="0"/>
      <w:marBottom w:val="0"/>
      <w:divBdr>
        <w:top w:val="none" w:sz="0" w:space="0" w:color="auto"/>
        <w:left w:val="none" w:sz="0" w:space="0" w:color="auto"/>
        <w:bottom w:val="none" w:sz="0" w:space="0" w:color="auto"/>
        <w:right w:val="none" w:sz="0" w:space="0" w:color="auto"/>
      </w:divBdr>
    </w:div>
    <w:div w:id="634991704">
      <w:bodyDiv w:val="1"/>
      <w:marLeft w:val="0"/>
      <w:marRight w:val="0"/>
      <w:marTop w:val="0"/>
      <w:marBottom w:val="0"/>
      <w:divBdr>
        <w:top w:val="none" w:sz="0" w:space="0" w:color="auto"/>
        <w:left w:val="none" w:sz="0" w:space="0" w:color="auto"/>
        <w:bottom w:val="none" w:sz="0" w:space="0" w:color="auto"/>
        <w:right w:val="none" w:sz="0" w:space="0" w:color="auto"/>
      </w:divBdr>
    </w:div>
    <w:div w:id="675545416">
      <w:bodyDiv w:val="1"/>
      <w:marLeft w:val="0"/>
      <w:marRight w:val="0"/>
      <w:marTop w:val="0"/>
      <w:marBottom w:val="0"/>
      <w:divBdr>
        <w:top w:val="none" w:sz="0" w:space="0" w:color="auto"/>
        <w:left w:val="none" w:sz="0" w:space="0" w:color="auto"/>
        <w:bottom w:val="none" w:sz="0" w:space="0" w:color="auto"/>
        <w:right w:val="none" w:sz="0" w:space="0" w:color="auto"/>
      </w:divBdr>
    </w:div>
    <w:div w:id="705105190">
      <w:bodyDiv w:val="1"/>
      <w:marLeft w:val="0"/>
      <w:marRight w:val="0"/>
      <w:marTop w:val="0"/>
      <w:marBottom w:val="0"/>
      <w:divBdr>
        <w:top w:val="none" w:sz="0" w:space="0" w:color="auto"/>
        <w:left w:val="none" w:sz="0" w:space="0" w:color="auto"/>
        <w:bottom w:val="none" w:sz="0" w:space="0" w:color="auto"/>
        <w:right w:val="none" w:sz="0" w:space="0" w:color="auto"/>
      </w:divBdr>
      <w:divsChild>
        <w:div w:id="1394698262">
          <w:marLeft w:val="547"/>
          <w:marRight w:val="0"/>
          <w:marTop w:val="0"/>
          <w:marBottom w:val="0"/>
          <w:divBdr>
            <w:top w:val="none" w:sz="0" w:space="0" w:color="auto"/>
            <w:left w:val="none" w:sz="0" w:space="0" w:color="auto"/>
            <w:bottom w:val="none" w:sz="0" w:space="0" w:color="auto"/>
            <w:right w:val="none" w:sz="0" w:space="0" w:color="auto"/>
          </w:divBdr>
        </w:div>
      </w:divsChild>
    </w:div>
    <w:div w:id="710617540">
      <w:bodyDiv w:val="1"/>
      <w:marLeft w:val="0"/>
      <w:marRight w:val="0"/>
      <w:marTop w:val="0"/>
      <w:marBottom w:val="0"/>
      <w:divBdr>
        <w:top w:val="none" w:sz="0" w:space="0" w:color="auto"/>
        <w:left w:val="none" w:sz="0" w:space="0" w:color="auto"/>
        <w:bottom w:val="none" w:sz="0" w:space="0" w:color="auto"/>
        <w:right w:val="none" w:sz="0" w:space="0" w:color="auto"/>
      </w:divBdr>
    </w:div>
    <w:div w:id="718433332">
      <w:bodyDiv w:val="1"/>
      <w:marLeft w:val="0"/>
      <w:marRight w:val="0"/>
      <w:marTop w:val="0"/>
      <w:marBottom w:val="0"/>
      <w:divBdr>
        <w:top w:val="none" w:sz="0" w:space="0" w:color="auto"/>
        <w:left w:val="none" w:sz="0" w:space="0" w:color="auto"/>
        <w:bottom w:val="none" w:sz="0" w:space="0" w:color="auto"/>
        <w:right w:val="none" w:sz="0" w:space="0" w:color="auto"/>
      </w:divBdr>
    </w:div>
    <w:div w:id="720445344">
      <w:bodyDiv w:val="1"/>
      <w:marLeft w:val="0"/>
      <w:marRight w:val="0"/>
      <w:marTop w:val="0"/>
      <w:marBottom w:val="0"/>
      <w:divBdr>
        <w:top w:val="none" w:sz="0" w:space="0" w:color="auto"/>
        <w:left w:val="none" w:sz="0" w:space="0" w:color="auto"/>
        <w:bottom w:val="none" w:sz="0" w:space="0" w:color="auto"/>
        <w:right w:val="none" w:sz="0" w:space="0" w:color="auto"/>
      </w:divBdr>
      <w:divsChild>
        <w:div w:id="2143688373">
          <w:marLeft w:val="547"/>
          <w:marRight w:val="0"/>
          <w:marTop w:val="0"/>
          <w:marBottom w:val="0"/>
          <w:divBdr>
            <w:top w:val="none" w:sz="0" w:space="0" w:color="auto"/>
            <w:left w:val="none" w:sz="0" w:space="0" w:color="auto"/>
            <w:bottom w:val="none" w:sz="0" w:space="0" w:color="auto"/>
            <w:right w:val="none" w:sz="0" w:space="0" w:color="auto"/>
          </w:divBdr>
        </w:div>
      </w:divsChild>
    </w:div>
    <w:div w:id="902568439">
      <w:bodyDiv w:val="1"/>
      <w:marLeft w:val="0"/>
      <w:marRight w:val="0"/>
      <w:marTop w:val="0"/>
      <w:marBottom w:val="0"/>
      <w:divBdr>
        <w:top w:val="none" w:sz="0" w:space="0" w:color="auto"/>
        <w:left w:val="none" w:sz="0" w:space="0" w:color="auto"/>
        <w:bottom w:val="none" w:sz="0" w:space="0" w:color="auto"/>
        <w:right w:val="none" w:sz="0" w:space="0" w:color="auto"/>
      </w:divBdr>
      <w:divsChild>
        <w:div w:id="801535366">
          <w:marLeft w:val="547"/>
          <w:marRight w:val="0"/>
          <w:marTop w:val="0"/>
          <w:marBottom w:val="0"/>
          <w:divBdr>
            <w:top w:val="none" w:sz="0" w:space="0" w:color="auto"/>
            <w:left w:val="none" w:sz="0" w:space="0" w:color="auto"/>
            <w:bottom w:val="none" w:sz="0" w:space="0" w:color="auto"/>
            <w:right w:val="none" w:sz="0" w:space="0" w:color="auto"/>
          </w:divBdr>
        </w:div>
      </w:divsChild>
    </w:div>
    <w:div w:id="1028408028">
      <w:bodyDiv w:val="1"/>
      <w:marLeft w:val="0"/>
      <w:marRight w:val="0"/>
      <w:marTop w:val="0"/>
      <w:marBottom w:val="0"/>
      <w:divBdr>
        <w:top w:val="none" w:sz="0" w:space="0" w:color="auto"/>
        <w:left w:val="none" w:sz="0" w:space="0" w:color="auto"/>
        <w:bottom w:val="none" w:sz="0" w:space="0" w:color="auto"/>
        <w:right w:val="none" w:sz="0" w:space="0" w:color="auto"/>
      </w:divBdr>
      <w:divsChild>
        <w:div w:id="709647089">
          <w:marLeft w:val="547"/>
          <w:marRight w:val="0"/>
          <w:marTop w:val="0"/>
          <w:marBottom w:val="0"/>
          <w:divBdr>
            <w:top w:val="none" w:sz="0" w:space="0" w:color="auto"/>
            <w:left w:val="none" w:sz="0" w:space="0" w:color="auto"/>
            <w:bottom w:val="none" w:sz="0" w:space="0" w:color="auto"/>
            <w:right w:val="none" w:sz="0" w:space="0" w:color="auto"/>
          </w:divBdr>
        </w:div>
        <w:div w:id="1435589256">
          <w:marLeft w:val="547"/>
          <w:marRight w:val="0"/>
          <w:marTop w:val="0"/>
          <w:marBottom w:val="0"/>
          <w:divBdr>
            <w:top w:val="none" w:sz="0" w:space="0" w:color="auto"/>
            <w:left w:val="none" w:sz="0" w:space="0" w:color="auto"/>
            <w:bottom w:val="none" w:sz="0" w:space="0" w:color="auto"/>
            <w:right w:val="none" w:sz="0" w:space="0" w:color="auto"/>
          </w:divBdr>
        </w:div>
        <w:div w:id="1102720615">
          <w:marLeft w:val="547"/>
          <w:marRight w:val="0"/>
          <w:marTop w:val="0"/>
          <w:marBottom w:val="0"/>
          <w:divBdr>
            <w:top w:val="none" w:sz="0" w:space="0" w:color="auto"/>
            <w:left w:val="none" w:sz="0" w:space="0" w:color="auto"/>
            <w:bottom w:val="none" w:sz="0" w:space="0" w:color="auto"/>
            <w:right w:val="none" w:sz="0" w:space="0" w:color="auto"/>
          </w:divBdr>
        </w:div>
        <w:div w:id="141629687">
          <w:marLeft w:val="547"/>
          <w:marRight w:val="0"/>
          <w:marTop w:val="0"/>
          <w:marBottom w:val="0"/>
          <w:divBdr>
            <w:top w:val="none" w:sz="0" w:space="0" w:color="auto"/>
            <w:left w:val="none" w:sz="0" w:space="0" w:color="auto"/>
            <w:bottom w:val="none" w:sz="0" w:space="0" w:color="auto"/>
            <w:right w:val="none" w:sz="0" w:space="0" w:color="auto"/>
          </w:divBdr>
        </w:div>
        <w:div w:id="1240821803">
          <w:marLeft w:val="547"/>
          <w:marRight w:val="0"/>
          <w:marTop w:val="0"/>
          <w:marBottom w:val="0"/>
          <w:divBdr>
            <w:top w:val="none" w:sz="0" w:space="0" w:color="auto"/>
            <w:left w:val="none" w:sz="0" w:space="0" w:color="auto"/>
            <w:bottom w:val="none" w:sz="0" w:space="0" w:color="auto"/>
            <w:right w:val="none" w:sz="0" w:space="0" w:color="auto"/>
          </w:divBdr>
        </w:div>
        <w:div w:id="975448632">
          <w:marLeft w:val="547"/>
          <w:marRight w:val="0"/>
          <w:marTop w:val="0"/>
          <w:marBottom w:val="0"/>
          <w:divBdr>
            <w:top w:val="none" w:sz="0" w:space="0" w:color="auto"/>
            <w:left w:val="none" w:sz="0" w:space="0" w:color="auto"/>
            <w:bottom w:val="none" w:sz="0" w:space="0" w:color="auto"/>
            <w:right w:val="none" w:sz="0" w:space="0" w:color="auto"/>
          </w:divBdr>
        </w:div>
      </w:divsChild>
    </w:div>
    <w:div w:id="1030912112">
      <w:bodyDiv w:val="1"/>
      <w:marLeft w:val="0"/>
      <w:marRight w:val="0"/>
      <w:marTop w:val="0"/>
      <w:marBottom w:val="0"/>
      <w:divBdr>
        <w:top w:val="none" w:sz="0" w:space="0" w:color="auto"/>
        <w:left w:val="none" w:sz="0" w:space="0" w:color="auto"/>
        <w:bottom w:val="none" w:sz="0" w:space="0" w:color="auto"/>
        <w:right w:val="none" w:sz="0" w:space="0" w:color="auto"/>
      </w:divBdr>
      <w:divsChild>
        <w:div w:id="959262164">
          <w:marLeft w:val="547"/>
          <w:marRight w:val="0"/>
          <w:marTop w:val="0"/>
          <w:marBottom w:val="0"/>
          <w:divBdr>
            <w:top w:val="none" w:sz="0" w:space="0" w:color="auto"/>
            <w:left w:val="none" w:sz="0" w:space="0" w:color="auto"/>
            <w:bottom w:val="none" w:sz="0" w:space="0" w:color="auto"/>
            <w:right w:val="none" w:sz="0" w:space="0" w:color="auto"/>
          </w:divBdr>
        </w:div>
      </w:divsChild>
    </w:div>
    <w:div w:id="1132476278">
      <w:bodyDiv w:val="1"/>
      <w:marLeft w:val="0"/>
      <w:marRight w:val="0"/>
      <w:marTop w:val="0"/>
      <w:marBottom w:val="0"/>
      <w:divBdr>
        <w:top w:val="none" w:sz="0" w:space="0" w:color="auto"/>
        <w:left w:val="none" w:sz="0" w:space="0" w:color="auto"/>
        <w:bottom w:val="none" w:sz="0" w:space="0" w:color="auto"/>
        <w:right w:val="none" w:sz="0" w:space="0" w:color="auto"/>
      </w:divBdr>
    </w:div>
    <w:div w:id="1450513386">
      <w:bodyDiv w:val="1"/>
      <w:marLeft w:val="0"/>
      <w:marRight w:val="0"/>
      <w:marTop w:val="0"/>
      <w:marBottom w:val="0"/>
      <w:divBdr>
        <w:top w:val="none" w:sz="0" w:space="0" w:color="auto"/>
        <w:left w:val="none" w:sz="0" w:space="0" w:color="auto"/>
        <w:bottom w:val="none" w:sz="0" w:space="0" w:color="auto"/>
        <w:right w:val="none" w:sz="0" w:space="0" w:color="auto"/>
      </w:divBdr>
    </w:div>
    <w:div w:id="1507590979">
      <w:bodyDiv w:val="1"/>
      <w:marLeft w:val="0"/>
      <w:marRight w:val="0"/>
      <w:marTop w:val="0"/>
      <w:marBottom w:val="0"/>
      <w:divBdr>
        <w:top w:val="none" w:sz="0" w:space="0" w:color="auto"/>
        <w:left w:val="none" w:sz="0" w:space="0" w:color="auto"/>
        <w:bottom w:val="none" w:sz="0" w:space="0" w:color="auto"/>
        <w:right w:val="none" w:sz="0" w:space="0" w:color="auto"/>
      </w:divBdr>
    </w:div>
    <w:div w:id="1560823315">
      <w:bodyDiv w:val="1"/>
      <w:marLeft w:val="0"/>
      <w:marRight w:val="0"/>
      <w:marTop w:val="0"/>
      <w:marBottom w:val="0"/>
      <w:divBdr>
        <w:top w:val="none" w:sz="0" w:space="0" w:color="auto"/>
        <w:left w:val="none" w:sz="0" w:space="0" w:color="auto"/>
        <w:bottom w:val="none" w:sz="0" w:space="0" w:color="auto"/>
        <w:right w:val="none" w:sz="0" w:space="0" w:color="auto"/>
      </w:divBdr>
    </w:div>
    <w:div w:id="1593927084">
      <w:bodyDiv w:val="1"/>
      <w:marLeft w:val="0"/>
      <w:marRight w:val="0"/>
      <w:marTop w:val="0"/>
      <w:marBottom w:val="0"/>
      <w:divBdr>
        <w:top w:val="none" w:sz="0" w:space="0" w:color="auto"/>
        <w:left w:val="none" w:sz="0" w:space="0" w:color="auto"/>
        <w:bottom w:val="none" w:sz="0" w:space="0" w:color="auto"/>
        <w:right w:val="none" w:sz="0" w:space="0" w:color="auto"/>
      </w:divBdr>
    </w:div>
    <w:div w:id="1609847157">
      <w:bodyDiv w:val="1"/>
      <w:marLeft w:val="0"/>
      <w:marRight w:val="0"/>
      <w:marTop w:val="0"/>
      <w:marBottom w:val="0"/>
      <w:divBdr>
        <w:top w:val="none" w:sz="0" w:space="0" w:color="auto"/>
        <w:left w:val="none" w:sz="0" w:space="0" w:color="auto"/>
        <w:bottom w:val="none" w:sz="0" w:space="0" w:color="auto"/>
        <w:right w:val="none" w:sz="0" w:space="0" w:color="auto"/>
      </w:divBdr>
    </w:div>
    <w:div w:id="1613509236">
      <w:bodyDiv w:val="1"/>
      <w:marLeft w:val="0"/>
      <w:marRight w:val="0"/>
      <w:marTop w:val="0"/>
      <w:marBottom w:val="0"/>
      <w:divBdr>
        <w:top w:val="none" w:sz="0" w:space="0" w:color="auto"/>
        <w:left w:val="none" w:sz="0" w:space="0" w:color="auto"/>
        <w:bottom w:val="none" w:sz="0" w:space="0" w:color="auto"/>
        <w:right w:val="none" w:sz="0" w:space="0" w:color="auto"/>
      </w:divBdr>
    </w:div>
    <w:div w:id="1622951819">
      <w:bodyDiv w:val="1"/>
      <w:marLeft w:val="0"/>
      <w:marRight w:val="0"/>
      <w:marTop w:val="0"/>
      <w:marBottom w:val="0"/>
      <w:divBdr>
        <w:top w:val="none" w:sz="0" w:space="0" w:color="auto"/>
        <w:left w:val="none" w:sz="0" w:space="0" w:color="auto"/>
        <w:bottom w:val="none" w:sz="0" w:space="0" w:color="auto"/>
        <w:right w:val="none" w:sz="0" w:space="0" w:color="auto"/>
      </w:divBdr>
    </w:div>
    <w:div w:id="1623732834">
      <w:bodyDiv w:val="1"/>
      <w:marLeft w:val="0"/>
      <w:marRight w:val="0"/>
      <w:marTop w:val="0"/>
      <w:marBottom w:val="0"/>
      <w:divBdr>
        <w:top w:val="none" w:sz="0" w:space="0" w:color="auto"/>
        <w:left w:val="none" w:sz="0" w:space="0" w:color="auto"/>
        <w:bottom w:val="none" w:sz="0" w:space="0" w:color="auto"/>
        <w:right w:val="none" w:sz="0" w:space="0" w:color="auto"/>
      </w:divBdr>
    </w:div>
    <w:div w:id="1628272173">
      <w:bodyDiv w:val="1"/>
      <w:marLeft w:val="0"/>
      <w:marRight w:val="0"/>
      <w:marTop w:val="0"/>
      <w:marBottom w:val="0"/>
      <w:divBdr>
        <w:top w:val="none" w:sz="0" w:space="0" w:color="auto"/>
        <w:left w:val="none" w:sz="0" w:space="0" w:color="auto"/>
        <w:bottom w:val="none" w:sz="0" w:space="0" w:color="auto"/>
        <w:right w:val="none" w:sz="0" w:space="0" w:color="auto"/>
      </w:divBdr>
    </w:div>
    <w:div w:id="1641879750">
      <w:bodyDiv w:val="1"/>
      <w:marLeft w:val="0"/>
      <w:marRight w:val="0"/>
      <w:marTop w:val="0"/>
      <w:marBottom w:val="0"/>
      <w:divBdr>
        <w:top w:val="none" w:sz="0" w:space="0" w:color="auto"/>
        <w:left w:val="none" w:sz="0" w:space="0" w:color="auto"/>
        <w:bottom w:val="none" w:sz="0" w:space="0" w:color="auto"/>
        <w:right w:val="none" w:sz="0" w:space="0" w:color="auto"/>
      </w:divBdr>
    </w:div>
    <w:div w:id="1661931451">
      <w:bodyDiv w:val="1"/>
      <w:marLeft w:val="0"/>
      <w:marRight w:val="0"/>
      <w:marTop w:val="0"/>
      <w:marBottom w:val="0"/>
      <w:divBdr>
        <w:top w:val="none" w:sz="0" w:space="0" w:color="auto"/>
        <w:left w:val="none" w:sz="0" w:space="0" w:color="auto"/>
        <w:bottom w:val="none" w:sz="0" w:space="0" w:color="auto"/>
        <w:right w:val="none" w:sz="0" w:space="0" w:color="auto"/>
      </w:divBdr>
    </w:div>
    <w:div w:id="1717005639">
      <w:bodyDiv w:val="1"/>
      <w:marLeft w:val="0"/>
      <w:marRight w:val="0"/>
      <w:marTop w:val="0"/>
      <w:marBottom w:val="0"/>
      <w:divBdr>
        <w:top w:val="none" w:sz="0" w:space="0" w:color="auto"/>
        <w:left w:val="none" w:sz="0" w:space="0" w:color="auto"/>
        <w:bottom w:val="none" w:sz="0" w:space="0" w:color="auto"/>
        <w:right w:val="none" w:sz="0" w:space="0" w:color="auto"/>
      </w:divBdr>
      <w:divsChild>
        <w:div w:id="621882901">
          <w:marLeft w:val="547"/>
          <w:marRight w:val="0"/>
          <w:marTop w:val="0"/>
          <w:marBottom w:val="0"/>
          <w:divBdr>
            <w:top w:val="none" w:sz="0" w:space="0" w:color="auto"/>
            <w:left w:val="none" w:sz="0" w:space="0" w:color="auto"/>
            <w:bottom w:val="none" w:sz="0" w:space="0" w:color="auto"/>
            <w:right w:val="none" w:sz="0" w:space="0" w:color="auto"/>
          </w:divBdr>
        </w:div>
        <w:div w:id="1766459472">
          <w:marLeft w:val="547"/>
          <w:marRight w:val="0"/>
          <w:marTop w:val="0"/>
          <w:marBottom w:val="0"/>
          <w:divBdr>
            <w:top w:val="none" w:sz="0" w:space="0" w:color="auto"/>
            <w:left w:val="none" w:sz="0" w:space="0" w:color="auto"/>
            <w:bottom w:val="none" w:sz="0" w:space="0" w:color="auto"/>
            <w:right w:val="none" w:sz="0" w:space="0" w:color="auto"/>
          </w:divBdr>
        </w:div>
        <w:div w:id="2058386528">
          <w:marLeft w:val="547"/>
          <w:marRight w:val="0"/>
          <w:marTop w:val="0"/>
          <w:marBottom w:val="0"/>
          <w:divBdr>
            <w:top w:val="none" w:sz="0" w:space="0" w:color="auto"/>
            <w:left w:val="none" w:sz="0" w:space="0" w:color="auto"/>
            <w:bottom w:val="none" w:sz="0" w:space="0" w:color="auto"/>
            <w:right w:val="none" w:sz="0" w:space="0" w:color="auto"/>
          </w:divBdr>
        </w:div>
      </w:divsChild>
    </w:div>
    <w:div w:id="1760759934">
      <w:bodyDiv w:val="1"/>
      <w:marLeft w:val="0"/>
      <w:marRight w:val="0"/>
      <w:marTop w:val="0"/>
      <w:marBottom w:val="0"/>
      <w:divBdr>
        <w:top w:val="none" w:sz="0" w:space="0" w:color="auto"/>
        <w:left w:val="none" w:sz="0" w:space="0" w:color="auto"/>
        <w:bottom w:val="none" w:sz="0" w:space="0" w:color="auto"/>
        <w:right w:val="none" w:sz="0" w:space="0" w:color="auto"/>
      </w:divBdr>
    </w:div>
    <w:div w:id="1770078362">
      <w:bodyDiv w:val="1"/>
      <w:marLeft w:val="0"/>
      <w:marRight w:val="0"/>
      <w:marTop w:val="0"/>
      <w:marBottom w:val="0"/>
      <w:divBdr>
        <w:top w:val="none" w:sz="0" w:space="0" w:color="auto"/>
        <w:left w:val="none" w:sz="0" w:space="0" w:color="auto"/>
        <w:bottom w:val="none" w:sz="0" w:space="0" w:color="auto"/>
        <w:right w:val="none" w:sz="0" w:space="0" w:color="auto"/>
      </w:divBdr>
      <w:divsChild>
        <w:div w:id="796605250">
          <w:marLeft w:val="864"/>
          <w:marRight w:val="0"/>
          <w:marTop w:val="0"/>
          <w:marBottom w:val="0"/>
          <w:divBdr>
            <w:top w:val="none" w:sz="0" w:space="0" w:color="auto"/>
            <w:left w:val="none" w:sz="0" w:space="0" w:color="auto"/>
            <w:bottom w:val="none" w:sz="0" w:space="0" w:color="auto"/>
            <w:right w:val="none" w:sz="0" w:space="0" w:color="auto"/>
          </w:divBdr>
        </w:div>
      </w:divsChild>
    </w:div>
    <w:div w:id="1775860462">
      <w:bodyDiv w:val="1"/>
      <w:marLeft w:val="0"/>
      <w:marRight w:val="0"/>
      <w:marTop w:val="0"/>
      <w:marBottom w:val="0"/>
      <w:divBdr>
        <w:top w:val="none" w:sz="0" w:space="0" w:color="auto"/>
        <w:left w:val="none" w:sz="0" w:space="0" w:color="auto"/>
        <w:bottom w:val="none" w:sz="0" w:space="0" w:color="auto"/>
        <w:right w:val="none" w:sz="0" w:space="0" w:color="auto"/>
      </w:divBdr>
    </w:div>
    <w:div w:id="1893425166">
      <w:bodyDiv w:val="1"/>
      <w:marLeft w:val="0"/>
      <w:marRight w:val="0"/>
      <w:marTop w:val="0"/>
      <w:marBottom w:val="0"/>
      <w:divBdr>
        <w:top w:val="none" w:sz="0" w:space="0" w:color="auto"/>
        <w:left w:val="none" w:sz="0" w:space="0" w:color="auto"/>
        <w:bottom w:val="none" w:sz="0" w:space="0" w:color="auto"/>
        <w:right w:val="none" w:sz="0" w:space="0" w:color="auto"/>
      </w:divBdr>
    </w:div>
    <w:div w:id="1929802820">
      <w:bodyDiv w:val="1"/>
      <w:marLeft w:val="0"/>
      <w:marRight w:val="0"/>
      <w:marTop w:val="0"/>
      <w:marBottom w:val="0"/>
      <w:divBdr>
        <w:top w:val="none" w:sz="0" w:space="0" w:color="auto"/>
        <w:left w:val="none" w:sz="0" w:space="0" w:color="auto"/>
        <w:bottom w:val="none" w:sz="0" w:space="0" w:color="auto"/>
        <w:right w:val="none" w:sz="0" w:space="0" w:color="auto"/>
      </w:divBdr>
    </w:div>
    <w:div w:id="1981880621">
      <w:bodyDiv w:val="1"/>
      <w:marLeft w:val="0"/>
      <w:marRight w:val="0"/>
      <w:marTop w:val="0"/>
      <w:marBottom w:val="0"/>
      <w:divBdr>
        <w:top w:val="none" w:sz="0" w:space="0" w:color="auto"/>
        <w:left w:val="none" w:sz="0" w:space="0" w:color="auto"/>
        <w:bottom w:val="none" w:sz="0" w:space="0" w:color="auto"/>
        <w:right w:val="none" w:sz="0" w:space="0" w:color="auto"/>
      </w:divBdr>
    </w:div>
    <w:div w:id="2021547179">
      <w:bodyDiv w:val="1"/>
      <w:marLeft w:val="0"/>
      <w:marRight w:val="0"/>
      <w:marTop w:val="0"/>
      <w:marBottom w:val="0"/>
      <w:divBdr>
        <w:top w:val="none" w:sz="0" w:space="0" w:color="auto"/>
        <w:left w:val="none" w:sz="0" w:space="0" w:color="auto"/>
        <w:bottom w:val="none" w:sz="0" w:space="0" w:color="auto"/>
        <w:right w:val="none" w:sz="0" w:space="0" w:color="auto"/>
      </w:divBdr>
    </w:div>
    <w:div w:id="2038236576">
      <w:bodyDiv w:val="1"/>
      <w:marLeft w:val="0"/>
      <w:marRight w:val="0"/>
      <w:marTop w:val="0"/>
      <w:marBottom w:val="0"/>
      <w:divBdr>
        <w:top w:val="none" w:sz="0" w:space="0" w:color="auto"/>
        <w:left w:val="none" w:sz="0" w:space="0" w:color="auto"/>
        <w:bottom w:val="none" w:sz="0" w:space="0" w:color="auto"/>
        <w:right w:val="none" w:sz="0" w:space="0" w:color="auto"/>
      </w:divBdr>
    </w:div>
    <w:div w:id="2116555958">
      <w:bodyDiv w:val="1"/>
      <w:marLeft w:val="0"/>
      <w:marRight w:val="0"/>
      <w:marTop w:val="0"/>
      <w:marBottom w:val="0"/>
      <w:divBdr>
        <w:top w:val="none" w:sz="0" w:space="0" w:color="auto"/>
        <w:left w:val="none" w:sz="0" w:space="0" w:color="auto"/>
        <w:bottom w:val="none" w:sz="0" w:space="0" w:color="auto"/>
        <w:right w:val="none" w:sz="0" w:space="0" w:color="auto"/>
      </w:divBdr>
    </w:div>
    <w:div w:id="2147046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icbf.gov.co/cargues/avance/docs/resolucion_minambiente_rma13670.htm"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Informacion%20rlinares\Documents\Plantillas%20personalizadas%20de%20Office\Gu&#237;a%20Ordenaci&#243;n%20Forestal%20Semifinal%20febrero28%20201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46D0C4-3940-44A0-A894-E0F6A09E0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Guía Ordenación Forestal Semifinal febrero28 2015</Template>
  <TotalTime>0</TotalTime>
  <Pages>40</Pages>
  <Words>22968</Words>
  <Characters>126326</Characters>
  <Application>Microsoft Office Word</Application>
  <DocSecurity>0</DocSecurity>
  <Lines>1052</Lines>
  <Paragraphs>297</Paragraphs>
  <ScaleCrop>false</ScaleCrop>
  <HeadingPairs>
    <vt:vector size="2" baseType="variant">
      <vt:variant>
        <vt:lpstr>Título</vt:lpstr>
      </vt:variant>
      <vt:variant>
        <vt:i4>1</vt:i4>
      </vt:variant>
    </vt:vector>
  </HeadingPairs>
  <TitlesOfParts>
    <vt:vector size="1" baseType="lpstr">
      <vt:lpstr>Guía Ordenación Forestal Integral y Sostenible</vt:lpstr>
    </vt:vector>
  </TitlesOfParts>
  <Company/>
  <LinksUpToDate>false</LinksUpToDate>
  <CharactersWithSpaces>148997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Ordenación Forestal Integral y Sostenible</dc:title>
  <dc:creator>Ricardo Linares Prieto</dc:creator>
  <cp:keywords>MAS-DBBSE</cp:keywords>
  <cp:lastModifiedBy>Forestal</cp:lastModifiedBy>
  <cp:revision>2</cp:revision>
  <cp:lastPrinted>2015-05-06T16:35:00Z</cp:lastPrinted>
  <dcterms:created xsi:type="dcterms:W3CDTF">2019-10-28T11:39:00Z</dcterms:created>
  <dcterms:modified xsi:type="dcterms:W3CDTF">2019-10-28T11:39:00Z</dcterms:modified>
</cp:coreProperties>
</file>